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30C8549D" w:rsidR="006615F7" w:rsidRPr="00594BBC" w:rsidRDefault="006615F7" w:rsidP="00423BC3">
      <w:pPr>
        <w:keepLines/>
        <w:spacing w:before="200" w:after="0" w:line="288" w:lineRule="auto"/>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SMLOUV</w:t>
      </w:r>
      <w:r w:rsidR="00754827">
        <w:rPr>
          <w:rFonts w:ascii="Arial" w:eastAsia="Times New Roman" w:hAnsi="Arial" w:cs="Arial"/>
          <w:b/>
          <w:iCs/>
          <w:color w:val="404040"/>
          <w:sz w:val="24"/>
          <w:szCs w:val="24"/>
          <w:lang w:eastAsia="x-none"/>
        </w:rPr>
        <w:t>A</w:t>
      </w:r>
      <w:r w:rsidRPr="00594BBC">
        <w:rPr>
          <w:rFonts w:ascii="Arial" w:eastAsia="Times New Roman" w:hAnsi="Arial" w:cs="Arial"/>
          <w:b/>
          <w:iCs/>
          <w:color w:val="404040"/>
          <w:sz w:val="24"/>
          <w:szCs w:val="24"/>
          <w:lang w:val="x-none" w:eastAsia="x-none"/>
        </w:rPr>
        <w:t xml:space="preserve">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175F4E2" w14:textId="77777777" w:rsidR="006E3ECD" w:rsidRDefault="006E3ECD" w:rsidP="006E3EC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15405FD7" w14:textId="77777777" w:rsidR="006E3ECD" w:rsidRPr="00594BBC" w:rsidRDefault="006E3ECD" w:rsidP="006E3EC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1024/11a, 130 00 Praha 3</w:t>
      </w:r>
      <w:r w:rsidRPr="00594BBC">
        <w:rPr>
          <w:rFonts w:ascii="Arial" w:eastAsia="Times New Roman" w:hAnsi="Arial" w:cs="Arial"/>
          <w:b/>
          <w:lang w:eastAsia="cs-CZ"/>
        </w:rPr>
        <w:t xml:space="preserve"> </w:t>
      </w:r>
    </w:p>
    <w:p w14:paraId="61A9777F" w14:textId="77777777" w:rsidR="006E3ECD" w:rsidRDefault="006E3ECD" w:rsidP="006E3ECD">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Pardubický kraj</w:t>
      </w:r>
    </w:p>
    <w:p w14:paraId="3D5A2C69" w14:textId="77777777" w:rsidR="006E3ECD" w:rsidRPr="00594BBC" w:rsidRDefault="006E3ECD" w:rsidP="006E3ECD">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Boženy Němcové 231, 530 02 Pardubice</w:t>
      </w:r>
    </w:p>
    <w:p w14:paraId="476699DA" w14:textId="17195953" w:rsidR="006E3ECD" w:rsidRPr="00423BC3" w:rsidRDefault="006E3ECD" w:rsidP="00423BC3">
      <w:pPr>
        <w:overflowPunct w:val="0"/>
        <w:autoSpaceDE w:val="0"/>
        <w:autoSpaceDN w:val="0"/>
        <w:adjustRightInd w:val="0"/>
        <w:spacing w:after="0"/>
        <w:ind w:left="1418" w:hanging="1418"/>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Ing. Miroslavem Kučerou, ředitelem Krajského pozemkového úřadu pro Pardubický kraj.</w:t>
      </w:r>
    </w:p>
    <w:p w14:paraId="490E8AAE" w14:textId="4366A049" w:rsidR="00463206" w:rsidRDefault="006E3ECD" w:rsidP="00423BC3">
      <w:pPr>
        <w:widowControl w:val="0"/>
        <w:tabs>
          <w:tab w:val="left" w:pos="4820"/>
        </w:tabs>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v</w:t>
      </w:r>
      <w:r w:rsidR="00BD7B57">
        <w:rPr>
          <w:rFonts w:ascii="Arial" w:eastAsia="Lucida Sans Unicode" w:hAnsi="Arial" w:cs="Arial"/>
          <w:lang w:eastAsia="cs-CZ"/>
        </w:rPr>
        <w:t>e</w:t>
      </w:r>
      <w:r w:rsidRPr="00594BBC">
        <w:rPr>
          <w:rFonts w:ascii="Arial" w:eastAsia="Lucida Sans Unicode" w:hAnsi="Arial" w:cs="Arial"/>
          <w:lang w:eastAsia="cs-CZ"/>
        </w:rPr>
        <w:t xml:space="preserve"> smluvních záležitostech oprávněn jednat:</w:t>
      </w:r>
      <w:r>
        <w:rPr>
          <w:rFonts w:ascii="Arial" w:eastAsia="Lucida Sans Unicode" w:hAnsi="Arial" w:cs="Arial"/>
          <w:lang w:eastAsia="cs-CZ"/>
        </w:rPr>
        <w:t xml:space="preserve"> Ing. Miroslav Kučera, ředitel Krajského pozemkového úřadu pro Pardubický kraj</w:t>
      </w:r>
      <w:r w:rsidR="00BD7B57">
        <w:rPr>
          <w:rFonts w:ascii="Arial" w:eastAsia="Lucida Sans Unicode" w:hAnsi="Arial" w:cs="Arial"/>
          <w:lang w:eastAsia="cs-CZ"/>
        </w:rPr>
        <w:t xml:space="preserve">. </w:t>
      </w:r>
    </w:p>
    <w:p w14:paraId="3A3F2282" w14:textId="77777777" w:rsidR="00402F0C" w:rsidRPr="00594BBC" w:rsidRDefault="00402F0C" w:rsidP="00467E7C">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4A1CCC8" w14:textId="730ADD73" w:rsidR="00402F0C" w:rsidRDefault="006615F7" w:rsidP="00402F0C">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077C8B">
        <w:rPr>
          <w:rFonts w:ascii="Arial" w:eastAsia="Lucida Sans Unicode" w:hAnsi="Arial" w:cs="Arial"/>
          <w:snapToGrid w:val="0"/>
          <w:lang w:eastAsia="cs-CZ"/>
        </w:rPr>
        <w:t>Ing. Alexandr Mikuláš</w:t>
      </w:r>
      <w:r w:rsidR="00E379A0">
        <w:rPr>
          <w:rFonts w:ascii="Arial" w:eastAsia="Lucida Sans Unicode" w:hAnsi="Arial" w:cs="Arial"/>
          <w:snapToGrid w:val="0"/>
          <w:lang w:eastAsia="cs-CZ"/>
        </w:rPr>
        <w:t xml:space="preserve">, Ing. </w:t>
      </w:r>
      <w:r w:rsidR="00AD622F">
        <w:rPr>
          <w:rFonts w:ascii="Arial" w:eastAsia="Lucida Sans Unicode" w:hAnsi="Arial" w:cs="Arial"/>
          <w:snapToGrid w:val="0"/>
          <w:lang w:eastAsia="cs-CZ"/>
        </w:rPr>
        <w:t>Hana Jeníčková, Ph.D.</w:t>
      </w:r>
    </w:p>
    <w:p w14:paraId="4FDB154E" w14:textId="02DE6A0C" w:rsidR="006615F7" w:rsidRPr="00594BBC" w:rsidRDefault="006615F7" w:rsidP="00423BC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6A10D0">
        <w:rPr>
          <w:rFonts w:ascii="Arial" w:eastAsia="Lucida Sans Unicode" w:hAnsi="Arial" w:cs="Arial"/>
          <w:lang w:eastAsia="cs-CZ"/>
        </w:rPr>
        <w:t> 602 3111 545</w:t>
      </w:r>
    </w:p>
    <w:p w14:paraId="22CD2868" w14:textId="70C3978E"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9504BB" w:rsidRPr="00423BC3">
        <w:rPr>
          <w:rFonts w:ascii="Arial" w:eastAsia="Lucida Sans Unicode" w:hAnsi="Arial" w:cs="Arial"/>
          <w:lang w:eastAsia="cs-CZ"/>
        </w:rPr>
        <w:t>a.mikulas</w:t>
      </w:r>
      <w:r w:rsidRPr="00423BC3">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1A9A0BDD"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01312774</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67EA4563" w:rsidR="006615F7" w:rsidRPr="00594BBC" w:rsidRDefault="00133FD7" w:rsidP="00423BC3">
      <w:pPr>
        <w:tabs>
          <w:tab w:val="left" w:pos="3402"/>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9067EB">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35AF219E" w:rsidR="006615F7" w:rsidRPr="00594BBC" w:rsidRDefault="006615F7" w:rsidP="00423BC3">
      <w:pPr>
        <w:tabs>
          <w:tab w:val="left" w:pos="3402"/>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w:t>
      </w:r>
      <w:r w:rsidR="00D2146A">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0941440" w:rsidR="006615F7" w:rsidRPr="00594BBC" w:rsidRDefault="006615F7" w:rsidP="00423BC3">
      <w:pPr>
        <w:tabs>
          <w:tab w:val="left" w:pos="3402"/>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w:t>
      </w:r>
      <w:r w:rsidR="00D2146A" w:rsidRPr="00594BBC">
        <w:rPr>
          <w:rFonts w:ascii="Arial" w:eastAsia="Times New Roman" w:hAnsi="Arial" w:cs="Arial"/>
          <w:lang w:eastAsia="cs-CZ"/>
        </w:rPr>
        <w:t>:</w:t>
      </w:r>
      <w:r w:rsidR="00D2146A">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76FB170E" w14:textId="7BD9BDA1" w:rsidR="006615F7" w:rsidRPr="00594BBC" w:rsidRDefault="006615F7" w:rsidP="00423BC3">
      <w:pPr>
        <w:tabs>
          <w:tab w:val="left" w:pos="3402"/>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w:t>
      </w:r>
      <w:r w:rsidR="00D2146A" w:rsidRPr="00594BBC">
        <w:rPr>
          <w:rFonts w:ascii="Arial" w:eastAsia="Times New Roman" w:hAnsi="Arial" w:cs="Arial"/>
          <w:lang w:eastAsia="cs-CZ"/>
        </w:rPr>
        <w:t xml:space="preserve">: </w:t>
      </w:r>
      <w:r w:rsidR="00D2146A">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6B4CB65B" w:rsidR="006615F7" w:rsidRPr="00594BBC" w:rsidRDefault="006615F7" w:rsidP="00423BC3">
      <w:pPr>
        <w:tabs>
          <w:tab w:val="left" w:pos="3402"/>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751D63E9" w14:textId="0947BBF8" w:rsidR="005153F5" w:rsidRDefault="006615F7" w:rsidP="005153F5">
      <w:pPr>
        <w:tabs>
          <w:tab w:val="left" w:pos="3402"/>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w:t>
      </w:r>
      <w:r w:rsidR="00D2146A">
        <w:rPr>
          <w:rFonts w:ascii="Arial" w:eastAsia="Times New Roman" w:hAnsi="Arial" w:cs="Arial"/>
          <w:lang w:eastAsia="cs-CZ"/>
        </w:rPr>
        <w:br/>
        <w:t xml:space="preserve">   </w:t>
      </w:r>
      <w:r w:rsidRPr="00594BBC">
        <w:rPr>
          <w:rFonts w:ascii="Arial" w:eastAsia="Times New Roman" w:hAnsi="Arial" w:cs="Arial"/>
          <w:lang w:eastAsia="cs-CZ"/>
        </w:rPr>
        <w:t xml:space="preserve">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70CBCA3F" w14:textId="26914D29" w:rsidR="006615F7" w:rsidRPr="00594BBC" w:rsidRDefault="006615F7" w:rsidP="00423BC3">
      <w:pPr>
        <w:tabs>
          <w:tab w:val="left" w:pos="3402"/>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tel./fax</w:t>
      </w:r>
      <w:r w:rsidR="005153F5" w:rsidRPr="00594BBC">
        <w:rPr>
          <w:rFonts w:ascii="Arial" w:eastAsia="Times New Roman" w:hAnsi="Arial" w:cs="Arial"/>
          <w:lang w:eastAsia="cs-CZ"/>
        </w:rPr>
        <w:t xml:space="preserve">: </w:t>
      </w:r>
      <w:r w:rsidR="005153F5">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51AC97F" w14:textId="49570419" w:rsidR="006615F7" w:rsidRPr="00AA3E94" w:rsidRDefault="006615F7" w:rsidP="003F1E01">
      <w:pPr>
        <w:tabs>
          <w:tab w:val="left" w:pos="3402"/>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006C1ADD">
        <w:rPr>
          <w:rFonts w:ascii="Arial" w:eastAsia="Times New Roman" w:hAnsi="Arial" w:cs="Arial"/>
          <w:lang w:eastAsia="cs-CZ"/>
        </w:rPr>
        <w:tab/>
      </w:r>
      <w:r w:rsidR="00E27730">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p>
    <w:p w14:paraId="7FB0FBA7" w14:textId="2A4510E5" w:rsidR="006615F7" w:rsidRPr="00594BBC" w:rsidRDefault="006615F7" w:rsidP="003F1E01">
      <w:pPr>
        <w:tabs>
          <w:tab w:val="left" w:pos="3402"/>
        </w:tabs>
        <w:spacing w:after="0" w:line="288" w:lineRule="auto"/>
        <w:ind w:right="-110"/>
        <w:jc w:val="both"/>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r w:rsidRPr="003F1E01">
        <w:rPr>
          <w:rFonts w:ascii="Arial" w:eastAsia="Times New Roman" w:hAnsi="Arial" w:cs="Arial"/>
          <w:b/>
          <w:bCs/>
          <w:lang w:eastAsia="cs-CZ"/>
        </w:rPr>
        <w:t xml:space="preserve"> </w:t>
      </w:r>
      <w:r w:rsidRPr="003F1E01">
        <w:rPr>
          <w:rFonts w:ascii="Arial" w:eastAsia="Times New Roman" w:hAnsi="Arial" w:cs="Arial"/>
          <w:b/>
          <w:bCs/>
          <w:highlight w:val="yellow"/>
          <w:lang w:eastAsia="cs-CZ"/>
        </w:rPr>
        <w:t>[DOPLNIT</w:t>
      </w:r>
      <w:r w:rsidRPr="003F1E01">
        <w:rPr>
          <w:rFonts w:ascii="Arial" w:eastAsia="Times New Roman" w:hAnsi="Arial" w:cs="Arial"/>
          <w:highlight w:val="yellow"/>
          <w:lang w:eastAsia="cs-CZ"/>
        </w:rPr>
        <w:t>]</w:t>
      </w:r>
      <w:r w:rsidRPr="003F1E01">
        <w:rPr>
          <w:rFonts w:ascii="Arial" w:eastAsia="Times New Roman" w:hAnsi="Arial" w:cs="Arial"/>
          <w:lang w:eastAsia="cs-CZ"/>
        </w:rPr>
        <w:tab/>
      </w:r>
      <w:r w:rsidRPr="00594BBC">
        <w:rPr>
          <w:rFonts w:ascii="Arial" w:eastAsia="Times New Roman" w:hAnsi="Arial" w:cs="Arial"/>
          <w:lang w:eastAsia="cs-CZ"/>
        </w:rPr>
        <w:tab/>
      </w:r>
    </w:p>
    <w:p w14:paraId="43B332CC" w14:textId="36A5E48E" w:rsidR="006615F7" w:rsidRPr="00594BBC" w:rsidRDefault="006615F7" w:rsidP="003F1E01">
      <w:pPr>
        <w:tabs>
          <w:tab w:val="left" w:pos="3402"/>
        </w:tabs>
        <w:spacing w:after="0" w:line="288" w:lineRule="auto"/>
        <w:ind w:right="-110"/>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r>
      <w:r w:rsidRPr="003F1E01">
        <w:rPr>
          <w:rFonts w:ascii="Arial" w:eastAsia="Times New Roman" w:hAnsi="Arial" w:cs="Arial"/>
          <w:b/>
          <w:bCs/>
          <w:lang w:eastAsia="cs-CZ"/>
        </w:rPr>
        <w:t xml:space="preserve"> </w:t>
      </w:r>
      <w:r w:rsidRPr="003F1E01">
        <w:rPr>
          <w:rFonts w:ascii="Arial" w:eastAsia="Times New Roman" w:hAnsi="Arial" w:cs="Arial"/>
          <w:b/>
          <w:bCs/>
          <w:highlight w:val="yellow"/>
          <w:lang w:eastAsia="cs-CZ"/>
        </w:rPr>
        <w:t>[DOPLNIT</w:t>
      </w:r>
      <w:r w:rsidRPr="003F1E01">
        <w:rPr>
          <w:rFonts w:ascii="Arial" w:eastAsia="Times New Roman" w:hAnsi="Arial" w:cs="Arial"/>
          <w:b/>
          <w:bCs/>
          <w:lang w:eastAsia="cs-CZ"/>
        </w:rPr>
        <w:t>]</w:t>
      </w:r>
      <w:r w:rsidRPr="003F1E01">
        <w:rPr>
          <w:rFonts w:ascii="Arial" w:eastAsia="Times New Roman" w:hAnsi="Arial" w:cs="Arial"/>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153DDA61" w:rsidR="006615F7" w:rsidRPr="003F1E01" w:rsidRDefault="006615F7" w:rsidP="003F1E01">
      <w:pPr>
        <w:tabs>
          <w:tab w:val="left" w:pos="3402"/>
        </w:tabs>
        <w:spacing w:after="0" w:line="288" w:lineRule="auto"/>
        <w:ind w:right="-110"/>
        <w:jc w:val="both"/>
        <w:rPr>
          <w:rFonts w:ascii="Arial" w:eastAsia="Times New Roman" w:hAnsi="Arial" w:cs="Arial"/>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sidRPr="003F1E01">
        <w:rPr>
          <w:rFonts w:ascii="Arial" w:eastAsia="Times New Roman" w:hAnsi="Arial" w:cs="Arial"/>
          <w:b/>
          <w:bCs/>
          <w:lang w:eastAsia="cs-CZ"/>
        </w:rPr>
        <w:t xml:space="preserve"> </w:t>
      </w:r>
      <w:r w:rsidRPr="003F1E01">
        <w:rPr>
          <w:rFonts w:ascii="Arial" w:eastAsia="Times New Roman" w:hAnsi="Arial" w:cs="Arial"/>
          <w:b/>
          <w:bCs/>
          <w:highlight w:val="yellow"/>
          <w:lang w:eastAsia="cs-CZ"/>
        </w:rPr>
        <w:t>[DOPLNIT</w:t>
      </w:r>
      <w:r w:rsidRPr="003F1E01">
        <w:rPr>
          <w:rFonts w:ascii="Arial" w:eastAsia="Times New Roman" w:hAnsi="Arial" w:cs="Arial"/>
          <w:lang w:eastAsia="cs-CZ"/>
        </w:rPr>
        <w:t>]</w:t>
      </w:r>
      <w:r w:rsidRPr="003F1E01">
        <w:rPr>
          <w:rFonts w:ascii="Arial" w:eastAsia="Times New Roman" w:hAnsi="Arial" w:cs="Arial"/>
          <w:lang w:eastAsia="cs-CZ"/>
        </w:rPr>
        <w:tab/>
      </w:r>
      <w:r w:rsidRPr="003F1E01">
        <w:rPr>
          <w:rFonts w:ascii="Arial" w:eastAsia="Times New Roman" w:hAnsi="Arial" w:cs="Arial"/>
          <w:lang w:eastAsia="cs-CZ"/>
        </w:rPr>
        <w:tab/>
      </w:r>
    </w:p>
    <w:p w14:paraId="2F6F4630" w14:textId="00EF76F6" w:rsidR="006615F7" w:rsidRPr="00594BBC" w:rsidRDefault="006615F7" w:rsidP="003F1E01">
      <w:pPr>
        <w:tabs>
          <w:tab w:val="left" w:pos="3402"/>
        </w:tabs>
        <w:spacing w:after="0" w:line="288" w:lineRule="auto"/>
        <w:ind w:right="-110"/>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r w:rsidRPr="003F1E01">
        <w:rPr>
          <w:rFonts w:ascii="Arial" w:eastAsia="Times New Roman" w:hAnsi="Arial" w:cs="Arial"/>
          <w:b/>
          <w:bCs/>
          <w:lang w:eastAsia="cs-CZ"/>
        </w:rPr>
        <w:t xml:space="preserve"> </w:t>
      </w:r>
      <w:r w:rsidRPr="003F1E01">
        <w:rPr>
          <w:rFonts w:ascii="Arial" w:eastAsia="Times New Roman" w:hAnsi="Arial" w:cs="Arial"/>
          <w:b/>
          <w:bCs/>
          <w:highlight w:val="yellow"/>
          <w:lang w:eastAsia="cs-CZ"/>
        </w:rPr>
        <w:t>[DOPLNIT</w:t>
      </w:r>
      <w:r w:rsidRPr="003F1E01">
        <w:rPr>
          <w:rFonts w:ascii="Arial" w:eastAsia="Times New Roman" w:hAnsi="Arial" w:cs="Arial"/>
          <w:highlight w:val="yellow"/>
          <w:lang w:eastAsia="cs-CZ"/>
        </w:rPr>
        <w:t>]</w:t>
      </w:r>
      <w:r w:rsidR="00133FD7" w:rsidRPr="003F1E01">
        <w:rPr>
          <w:rFonts w:ascii="Arial" w:eastAsia="Times New Roman" w:hAnsi="Arial" w:cs="Arial"/>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8F8DF1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5300C1" w:rsidRPr="005300C1">
        <w:rPr>
          <w:rFonts w:ascii="Arial" w:eastAsia="Times New Roman" w:hAnsi="Arial" w:cs="Arial"/>
          <w:lang w:eastAsia="cs-CZ"/>
        </w:rPr>
        <w:t>Realizace společných zařízení Hnátnice – polní cesta H4</w:t>
      </w:r>
      <w:r w:rsidR="005300C1" w:rsidRPr="003F1E01" w:rsidDel="005300C1">
        <w:rPr>
          <w:rFonts w:ascii="Arial" w:eastAsia="Times New Roman" w:hAnsi="Arial" w:cs="Arial"/>
          <w:lang w:eastAsia="cs-CZ"/>
        </w:rPr>
        <w:t xml:space="preserve"> </w:t>
      </w:r>
      <w:r w:rsidR="000B4D43" w:rsidRPr="003F1E01">
        <w:rPr>
          <w:rFonts w:ascii="Arial" w:eastAsia="Times New Roman" w:hAnsi="Arial" w:cs="Arial"/>
          <w:bCs/>
          <w:snapToGrid w:val="0"/>
          <w:lang w:eastAsia="cs-CZ"/>
        </w:rPr>
        <w:t xml:space="preserve"> (</w:t>
      </w:r>
      <w:r w:rsidR="008C18A0" w:rsidRPr="003F1E01">
        <w:rPr>
          <w:rFonts w:ascii="Arial" w:eastAsia="Times New Roman" w:hAnsi="Arial" w:cs="Arial"/>
          <w:bCs/>
          <w:snapToGrid w:val="0"/>
        </w:rPr>
        <w:t>dále jen „veřejná zakázka“)</w:t>
      </w:r>
      <w:r w:rsidR="000B4D43" w:rsidRPr="005300C1">
        <w:rPr>
          <w:rFonts w:ascii="Arial" w:eastAsia="Times New Roman" w:hAnsi="Arial" w:cs="Arial"/>
          <w:lang w:eastAsia="cs-CZ"/>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281DAB1D"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212C73" w:rsidRPr="00212C73">
        <w:rPr>
          <w:rFonts w:ascii="Arial" w:eastAsia="Times New Roman" w:hAnsi="Arial" w:cs="Arial"/>
          <w:lang w:eastAsia="cs-CZ"/>
        </w:rPr>
        <w:t>č.j. MUUO/6089/20018/D55/ba ze dne 19.2.2018 prodloužené č.j. MUUO/3780/2020/SÚ/</w:t>
      </w:r>
      <w:proofErr w:type="spellStart"/>
      <w:r w:rsidR="00212C73" w:rsidRPr="00212C73">
        <w:rPr>
          <w:rFonts w:ascii="Arial" w:eastAsia="Times New Roman" w:hAnsi="Arial" w:cs="Arial"/>
          <w:lang w:eastAsia="cs-CZ"/>
        </w:rPr>
        <w:t>pk</w:t>
      </w:r>
      <w:proofErr w:type="spellEnd"/>
      <w:r w:rsidR="00212C73" w:rsidRPr="00212C73">
        <w:rPr>
          <w:rFonts w:ascii="Arial" w:eastAsia="Times New Roman" w:hAnsi="Arial" w:cs="Arial"/>
          <w:lang w:eastAsia="cs-CZ"/>
        </w:rPr>
        <w:t xml:space="preserve"> </w:t>
      </w:r>
      <w:r w:rsidR="00030326">
        <w:rPr>
          <w:rFonts w:ascii="Arial" w:eastAsia="Times New Roman" w:hAnsi="Arial" w:cs="Arial"/>
          <w:lang w:eastAsia="cs-CZ"/>
        </w:rPr>
        <w:t xml:space="preserve">ze </w:t>
      </w:r>
      <w:r w:rsidR="00212C73" w:rsidRPr="00212C73">
        <w:rPr>
          <w:rFonts w:ascii="Arial" w:eastAsia="Times New Roman" w:hAnsi="Arial" w:cs="Arial"/>
          <w:lang w:eastAsia="cs-CZ"/>
        </w:rPr>
        <w:t>dne 13.3.2020</w:t>
      </w:r>
      <w:r w:rsidR="00030326">
        <w:rPr>
          <w:rFonts w:ascii="Arial" w:eastAsia="Times New Roman" w:hAnsi="Arial" w:cs="Arial"/>
          <w:lang w:eastAsia="cs-CZ"/>
        </w:rPr>
        <w:t>.</w:t>
      </w:r>
      <w:r w:rsidR="00212C73" w:rsidRPr="00212C73" w:rsidDel="00212C73">
        <w:rPr>
          <w:rFonts w:ascii="Arial" w:eastAsia="Times New Roman" w:hAnsi="Arial" w:cs="Arial"/>
          <w:highlight w:val="yellow"/>
          <w:lang w:eastAsia="cs-CZ"/>
        </w:rPr>
        <w:t xml:space="preserve"> </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89E6990"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w:t>
      </w:r>
      <w:r w:rsidRPr="00FD6922">
        <w:rPr>
          <w:rFonts w:ascii="Arial" w:hAnsi="Arial" w:cs="Arial"/>
          <w:lang w:val="x-none"/>
        </w:rPr>
        <w:t>rav v</w:t>
      </w:r>
      <w:r w:rsidR="00030326" w:rsidRPr="00FD6922">
        <w:rPr>
          <w:rFonts w:ascii="Arial" w:hAnsi="Arial" w:cs="Arial"/>
          <w:lang w:val="x-none"/>
        </w:rPr>
        <w:t> </w:t>
      </w:r>
      <w:proofErr w:type="spellStart"/>
      <w:r w:rsidR="00030326" w:rsidRPr="00CB1AFA">
        <w:rPr>
          <w:rFonts w:ascii="Arial" w:hAnsi="Arial" w:cs="Arial"/>
        </w:rPr>
        <w:t>k.ú</w:t>
      </w:r>
      <w:proofErr w:type="spellEnd"/>
      <w:r w:rsidR="00030326" w:rsidRPr="00CB1AFA">
        <w:rPr>
          <w:rFonts w:ascii="Arial" w:hAnsi="Arial" w:cs="Arial"/>
        </w:rPr>
        <w:t>. Hnátnice</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044AC06"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D6922">
        <w:rPr>
          <w:rFonts w:ascii="Arial" w:hAnsi="Arial" w:cs="Arial"/>
        </w:rPr>
        <w:t>Polní cest</w:t>
      </w:r>
      <w:r w:rsidR="00B502BB">
        <w:rPr>
          <w:rFonts w:ascii="Arial" w:hAnsi="Arial" w:cs="Arial"/>
        </w:rPr>
        <w:t>y</w:t>
      </w:r>
      <w:r w:rsidR="00FD6922">
        <w:rPr>
          <w:rFonts w:ascii="Arial" w:hAnsi="Arial" w:cs="Arial"/>
        </w:rPr>
        <w:t xml:space="preserve"> H4</w:t>
      </w:r>
      <w:r w:rsidRPr="00594BBC">
        <w:rPr>
          <w:rFonts w:ascii="Arial" w:hAnsi="Arial" w:cs="Arial"/>
        </w:rPr>
        <w:t xml:space="preserve"> </w:t>
      </w:r>
      <w:r w:rsidR="00B502BB">
        <w:rPr>
          <w:rFonts w:ascii="Arial" w:hAnsi="Arial" w:cs="Arial"/>
        </w:rPr>
        <w:t xml:space="preserve">(SO 102) a příkopu </w:t>
      </w:r>
      <w:r w:rsidR="00431C3D">
        <w:rPr>
          <w:rFonts w:ascii="Arial" w:hAnsi="Arial" w:cs="Arial"/>
        </w:rPr>
        <w:t xml:space="preserve">(SO102a)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2" w:name="_Hlk40280986"/>
    </w:p>
    <w:bookmarkEnd w:id="2"/>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58865FB"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0145D3" w:rsidRPr="000145D3">
        <w:rPr>
          <w:rFonts w:ascii="Arial" w:eastAsia="Times New Roman" w:hAnsi="Arial" w:cs="Arial"/>
          <w:lang w:eastAsia="cs-CZ"/>
        </w:rPr>
        <w:t xml:space="preserve"> </w:t>
      </w:r>
      <w:r w:rsidR="000145D3" w:rsidRPr="005300C1">
        <w:rPr>
          <w:rFonts w:ascii="Arial" w:eastAsia="Times New Roman" w:hAnsi="Arial" w:cs="Arial"/>
          <w:lang w:eastAsia="cs-CZ"/>
        </w:rPr>
        <w:t xml:space="preserve">Realizace společných zařízení Hnátnice – polní cesta </w:t>
      </w:r>
      <w:r w:rsidR="000145D3" w:rsidRPr="000D4AE7">
        <w:rPr>
          <w:rFonts w:ascii="Arial" w:eastAsia="Times New Roman" w:hAnsi="Arial" w:cs="Arial"/>
          <w:lang w:eastAsia="cs-CZ"/>
        </w:rPr>
        <w:t>H4</w:t>
      </w:r>
      <w:r w:rsidRPr="00594BBC">
        <w:rPr>
          <w:rFonts w:ascii="Arial" w:hAnsi="Arial" w:cs="Arial"/>
          <w:b/>
          <w:lang w:val="x-none"/>
        </w:rPr>
        <w:t xml:space="preserve">  </w:t>
      </w:r>
    </w:p>
    <w:p w14:paraId="1E51614C" w14:textId="2CBD1524"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FB19FC" w:rsidRPr="00802395">
        <w:rPr>
          <w:rFonts w:ascii="Arial" w:eastAsia="Times New Roman" w:hAnsi="Arial" w:cs="Arial"/>
          <w:lang w:eastAsia="cs-CZ"/>
        </w:rPr>
        <w:t>k.ú</w:t>
      </w:r>
      <w:proofErr w:type="spellEnd"/>
      <w:r w:rsidR="00FB19FC" w:rsidRPr="00802395">
        <w:rPr>
          <w:rFonts w:ascii="Arial" w:eastAsia="Times New Roman" w:hAnsi="Arial" w:cs="Arial"/>
          <w:lang w:eastAsia="cs-CZ"/>
        </w:rPr>
        <w:t>. Hnátnice</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F4B447B"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135622" w:rsidRPr="00135622">
        <w:rPr>
          <w:rFonts w:ascii="Arial" w:hAnsi="Arial" w:cs="Arial"/>
          <w:lang w:val="x-none"/>
        </w:rPr>
        <w:t>Agroprojekce Litomyšl spol. s r.o., Rokycanova 114, Vysoké Mýto, pod zakázkovým číslem 053 31/15</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28CE111E" w:rsidR="00D6259E" w:rsidRPr="00CB1AFA" w:rsidRDefault="00D6259E" w:rsidP="008D4E02">
      <w:pPr>
        <w:pStyle w:val="Odstavecseseznamem"/>
        <w:numPr>
          <w:ilvl w:val="0"/>
          <w:numId w:val="5"/>
        </w:numPr>
        <w:jc w:val="both"/>
        <w:rPr>
          <w:rFonts w:ascii="Arial" w:hAnsi="Arial" w:cs="Arial"/>
        </w:rPr>
      </w:pPr>
      <w:r w:rsidRPr="00594BBC">
        <w:rPr>
          <w:rFonts w:ascii="Arial" w:hAnsi="Arial" w:cs="Arial"/>
        </w:rPr>
        <w:t>Z</w:t>
      </w:r>
      <w:r w:rsidRPr="00CB1AFA">
        <w:rPr>
          <w:rFonts w:ascii="Arial" w:hAnsi="Arial" w:cs="Arial"/>
        </w:rPr>
        <w:t>ajištění dodávek materiálů a zařízení nezbytných pro řádné dokončení díla</w:t>
      </w:r>
      <w:r w:rsidRPr="00594BBC">
        <w:rPr>
          <w:rFonts w:ascii="Arial" w:hAnsi="Arial" w:cs="Arial"/>
        </w:rPr>
        <w:t xml:space="preserve">. </w:t>
      </w:r>
    </w:p>
    <w:p w14:paraId="28F07F33" w14:textId="0BE9FF79" w:rsidR="00D6259E" w:rsidRPr="00467E7C" w:rsidRDefault="00D6259E" w:rsidP="008D4E02">
      <w:pPr>
        <w:pStyle w:val="Odstavecseseznamem"/>
        <w:numPr>
          <w:ilvl w:val="0"/>
          <w:numId w:val="5"/>
        </w:numPr>
        <w:jc w:val="both"/>
        <w:rPr>
          <w:rFonts w:ascii="Arial" w:hAnsi="Arial" w:cs="Arial"/>
          <w:lang w:val="x-none"/>
        </w:rPr>
      </w:pPr>
      <w:r w:rsidRPr="00467E7C">
        <w:rPr>
          <w:rFonts w:ascii="Arial" w:hAnsi="Arial" w:cs="Arial"/>
        </w:rPr>
        <w:t>P</w:t>
      </w:r>
      <w:r w:rsidRPr="00467E7C">
        <w:rPr>
          <w:rFonts w:ascii="Arial" w:hAnsi="Arial" w:cs="Arial"/>
          <w:lang w:val="x-none"/>
        </w:rPr>
        <w:t xml:space="preserve">rovedení všech činností souvisejících s provedením </w:t>
      </w:r>
      <w:r w:rsidRPr="00467E7C">
        <w:rPr>
          <w:rFonts w:ascii="Arial" w:hAnsi="Arial" w:cs="Arial"/>
        </w:rPr>
        <w:t>díla</w:t>
      </w:r>
      <w:r w:rsidRPr="00467E7C">
        <w:rPr>
          <w:rFonts w:ascii="Arial" w:hAnsi="Arial" w:cs="Arial"/>
          <w:lang w:val="x-none"/>
        </w:rPr>
        <w:t xml:space="preserve"> nezbytných pro řádné dokončení díla (</w:t>
      </w:r>
      <w:r w:rsidRPr="00467E7C">
        <w:rPr>
          <w:rFonts w:ascii="Arial" w:hAnsi="Arial" w:cs="Arial"/>
        </w:rPr>
        <w:t>dodáv</w:t>
      </w:r>
      <w:r w:rsidR="00032B6F" w:rsidRPr="00467E7C">
        <w:rPr>
          <w:rFonts w:ascii="Arial" w:hAnsi="Arial" w:cs="Arial"/>
        </w:rPr>
        <w:t>ky</w:t>
      </w:r>
      <w:r w:rsidRPr="00467E7C">
        <w:rPr>
          <w:rFonts w:ascii="Arial" w:hAnsi="Arial" w:cs="Arial"/>
        </w:rPr>
        <w:t>, služ</w:t>
      </w:r>
      <w:r w:rsidR="00032B6F" w:rsidRPr="00467E7C">
        <w:rPr>
          <w:rFonts w:ascii="Arial" w:hAnsi="Arial" w:cs="Arial"/>
        </w:rPr>
        <w:t>by</w:t>
      </w:r>
      <w:r w:rsidRPr="00467E7C">
        <w:rPr>
          <w:rFonts w:ascii="Arial" w:hAnsi="Arial" w:cs="Arial"/>
        </w:rPr>
        <w:t>,</w:t>
      </w:r>
      <w:r w:rsidRPr="00467E7C">
        <w:rPr>
          <w:rFonts w:ascii="Arial" w:hAnsi="Arial" w:cs="Arial"/>
          <w:lang w:val="x-none"/>
        </w:rPr>
        <w:t xml:space="preserve"> bezpečnostní opatření apod.)</w:t>
      </w:r>
      <w:r w:rsidR="0094762E" w:rsidRPr="00467E7C">
        <w:rPr>
          <w:rFonts w:ascii="Arial" w:hAnsi="Arial" w:cs="Arial"/>
        </w:rPr>
        <w:t>.</w:t>
      </w:r>
      <w:r w:rsidRPr="00467E7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82CBCF4"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w:t>
      </w:r>
      <w:r w:rsidRPr="00594BBC">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63046AB2" w:rsidR="00D6259E" w:rsidRPr="00FC7304" w:rsidRDefault="00FC7304" w:rsidP="00FC7304">
      <w:pPr>
        <w:pStyle w:val="Odstavecseseznamem"/>
        <w:ind w:left="1571"/>
        <w:jc w:val="both"/>
        <w:rPr>
          <w:rFonts w:ascii="Arial" w:hAnsi="Arial" w:cs="Arial"/>
          <w:lang w:val="x-none"/>
        </w:rPr>
      </w:pPr>
      <w:r w:rsidRPr="00CB1AFA">
        <w:rPr>
          <w:rFonts w:ascii="Arial" w:hAnsi="Arial" w:cs="Arial"/>
        </w:rPr>
        <w:t>Prověření</w:t>
      </w:r>
      <w:r w:rsidRPr="00CB1AFA">
        <w:t xml:space="preserve"> </w:t>
      </w:r>
      <w:r w:rsidRPr="00CB1AFA">
        <w:rPr>
          <w:rFonts w:ascii="Arial" w:hAnsi="Arial" w:cs="Arial"/>
        </w:rPr>
        <w:t>mocnosti finální vrstvy kontrolními vrty provedenými na své náklady, v</w:t>
      </w:r>
      <w:r w:rsidR="00DA3E16" w:rsidRPr="00CB1AFA">
        <w:rPr>
          <w:rFonts w:ascii="Arial" w:hAnsi="Arial" w:cs="Arial"/>
        </w:rPr>
        <w:t> </w:t>
      </w:r>
      <w:r w:rsidRPr="00CB1AFA">
        <w:rPr>
          <w:rFonts w:ascii="Arial" w:hAnsi="Arial" w:cs="Arial"/>
        </w:rPr>
        <w:t>místech</w:t>
      </w:r>
      <w:r w:rsidR="00DA3E16" w:rsidRPr="00CB1AFA">
        <w:rPr>
          <w:rFonts w:ascii="Arial" w:hAnsi="Arial" w:cs="Arial"/>
        </w:rPr>
        <w:t>,</w:t>
      </w:r>
      <w:r w:rsidRPr="00CB1AFA">
        <w:rPr>
          <w:rFonts w:ascii="Arial" w:hAnsi="Arial" w:cs="Arial"/>
        </w:rPr>
        <w:t xml:space="preserve"> kde určí objednatel, a to nejméně 2x na 500 m délky u cest s 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F5E63D9"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5E2ED2">
        <w:rPr>
          <w:rFonts w:ascii="Arial" w:hAnsi="Arial" w:cs="Arial"/>
        </w:rPr>
        <w:t>Městským úřadem Hnátnice</w:t>
      </w:r>
      <w:r w:rsidR="004A6DB0">
        <w:rPr>
          <w:rFonts w:ascii="Arial" w:hAnsi="Arial" w:cs="Arial"/>
        </w:rPr>
        <w:t>, odborem dopravy</w:t>
      </w:r>
      <w:r w:rsidR="001F195F">
        <w:rPr>
          <w:rFonts w:ascii="Arial" w:hAnsi="Arial" w:cs="Arial"/>
        </w:rPr>
        <w:t>, silničního hospodářství a správních agend</w:t>
      </w:r>
      <w:r w:rsidR="005E2ED2" w:rsidRPr="00594BBC">
        <w:rPr>
          <w:rFonts w:ascii="Arial" w:hAnsi="Arial" w:cs="Arial"/>
        </w:rPr>
        <w:t xml:space="preserve"> </w:t>
      </w:r>
      <w:r w:rsidRPr="00594BBC">
        <w:rPr>
          <w:rFonts w:ascii="Arial" w:hAnsi="Arial" w:cs="Arial"/>
        </w:rPr>
        <w:t xml:space="preserve">dne </w:t>
      </w:r>
      <w:r w:rsidR="003D4E4A">
        <w:rPr>
          <w:rFonts w:ascii="Arial" w:hAnsi="Arial" w:cs="Arial"/>
        </w:rPr>
        <w:t>19.2.2018</w:t>
      </w:r>
      <w:r w:rsidR="001F195F">
        <w:rPr>
          <w:rFonts w:ascii="Arial" w:hAnsi="Arial" w:cs="Arial"/>
        </w:rPr>
        <w:t>,</w:t>
      </w:r>
      <w:r w:rsidRPr="00594BBC">
        <w:rPr>
          <w:rFonts w:ascii="Arial" w:hAnsi="Arial" w:cs="Arial"/>
        </w:rPr>
        <w:t xml:space="preserve"> č.j. </w:t>
      </w:r>
      <w:r w:rsidR="002577D2" w:rsidRPr="002577D2">
        <w:rPr>
          <w:rFonts w:ascii="Arial" w:hAnsi="Arial" w:cs="Arial"/>
        </w:rPr>
        <w:t>MUUO/6089/20018/D55/ba</w:t>
      </w:r>
      <w:r w:rsidR="002577D2">
        <w:rPr>
          <w:rFonts w:ascii="Arial" w:hAnsi="Arial" w:cs="Arial"/>
        </w:rPr>
        <w:t>,</w:t>
      </w:r>
      <w:r w:rsidRPr="00594BBC">
        <w:rPr>
          <w:rFonts w:ascii="Arial" w:hAnsi="Arial" w:cs="Arial"/>
        </w:rPr>
        <w:t xml:space="preserve"> které nabylo právní moci dne </w:t>
      </w:r>
      <w:r w:rsidR="002577D2">
        <w:rPr>
          <w:rFonts w:ascii="Arial" w:hAnsi="Arial" w:cs="Arial"/>
        </w:rPr>
        <w:t xml:space="preserve">4.4.2018 a které bylo prodlouženo stavebním povolením </w:t>
      </w:r>
      <w:r w:rsidR="004A6DB0" w:rsidRPr="00594BBC">
        <w:rPr>
          <w:rFonts w:ascii="Arial" w:hAnsi="Arial" w:cs="Arial"/>
        </w:rPr>
        <w:t xml:space="preserve">vydaným </w:t>
      </w:r>
      <w:r w:rsidR="004A6DB0">
        <w:rPr>
          <w:rFonts w:ascii="Arial" w:hAnsi="Arial" w:cs="Arial"/>
        </w:rPr>
        <w:t>Městským úřadem Hnátnice</w:t>
      </w:r>
      <w:r w:rsidR="001F195F">
        <w:rPr>
          <w:rFonts w:ascii="Arial" w:hAnsi="Arial" w:cs="Arial"/>
        </w:rPr>
        <w:t xml:space="preserve">, </w:t>
      </w:r>
      <w:r w:rsidR="004A3587">
        <w:rPr>
          <w:rFonts w:ascii="Arial" w:hAnsi="Arial" w:cs="Arial"/>
        </w:rPr>
        <w:t xml:space="preserve">stavebním úřadem </w:t>
      </w:r>
      <w:r w:rsidR="004A6DB0" w:rsidRPr="00594BBC">
        <w:rPr>
          <w:rFonts w:ascii="Arial" w:hAnsi="Arial" w:cs="Arial"/>
        </w:rPr>
        <w:t xml:space="preserve">dne </w:t>
      </w:r>
      <w:r w:rsidR="005054A0">
        <w:rPr>
          <w:rFonts w:ascii="Arial" w:hAnsi="Arial" w:cs="Arial"/>
        </w:rPr>
        <w:t>13.3.2020</w:t>
      </w:r>
      <w:r w:rsidR="004A3587">
        <w:rPr>
          <w:rFonts w:ascii="Arial" w:hAnsi="Arial" w:cs="Arial"/>
        </w:rPr>
        <w:t>,</w:t>
      </w:r>
      <w:r w:rsidR="004A6DB0" w:rsidRPr="00594BBC">
        <w:rPr>
          <w:rFonts w:ascii="Arial" w:hAnsi="Arial" w:cs="Arial"/>
        </w:rPr>
        <w:t xml:space="preserve"> č.j. </w:t>
      </w:r>
      <w:r w:rsidR="005054A0" w:rsidRPr="005054A0">
        <w:rPr>
          <w:rFonts w:ascii="Arial" w:hAnsi="Arial" w:cs="Arial"/>
        </w:rPr>
        <w:t>MUUO/3780/2020/SÚ/</w:t>
      </w:r>
      <w:proofErr w:type="spellStart"/>
      <w:r w:rsidR="005054A0" w:rsidRPr="005054A0">
        <w:rPr>
          <w:rFonts w:ascii="Arial" w:hAnsi="Arial" w:cs="Arial"/>
        </w:rPr>
        <w:t>pk</w:t>
      </w:r>
      <w:proofErr w:type="spellEnd"/>
      <w:r w:rsidR="004A6DB0">
        <w:rPr>
          <w:rFonts w:ascii="Arial" w:hAnsi="Arial" w:cs="Arial"/>
        </w:rPr>
        <w:t>,</w:t>
      </w:r>
      <w:r w:rsidR="004A6DB0" w:rsidRPr="00594BBC">
        <w:rPr>
          <w:rFonts w:ascii="Arial" w:hAnsi="Arial" w:cs="Arial"/>
        </w:rPr>
        <w:t xml:space="preserve"> které nabylo právní moci dne </w:t>
      </w:r>
      <w:r w:rsidR="005054A0">
        <w:rPr>
          <w:rFonts w:ascii="Arial" w:hAnsi="Arial" w:cs="Arial"/>
        </w:rPr>
        <w:t>17</w:t>
      </w:r>
      <w:r w:rsidR="004A6DB0">
        <w:rPr>
          <w:rFonts w:ascii="Arial" w:hAnsi="Arial" w:cs="Arial"/>
        </w:rPr>
        <w:t>.4.20</w:t>
      </w:r>
      <w:r w:rsidR="005054A0">
        <w:rPr>
          <w:rFonts w:ascii="Arial" w:hAnsi="Arial" w:cs="Arial"/>
        </w:rPr>
        <w:t>20.</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63CB1EE3" w14:textId="77777777" w:rsidR="007C3D30" w:rsidRPr="00522931" w:rsidRDefault="007C3D30">
      <w:pPr>
        <w:numPr>
          <w:ilvl w:val="0"/>
          <w:numId w:val="12"/>
        </w:numPr>
        <w:ind w:left="643"/>
        <w:contextualSpacing/>
        <w:jc w:val="both"/>
        <w:rPr>
          <w:rFonts w:ascii="Arial" w:eastAsiaTheme="minorEastAsia" w:hAnsi="Arial" w:cs="Arial"/>
          <w:lang w:eastAsia="cs-CZ"/>
        </w:rPr>
      </w:pPr>
      <w:r w:rsidRPr="00522931">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026CDCBC" w14:textId="77777777" w:rsidR="007C3D30" w:rsidRPr="00522931" w:rsidRDefault="007C3D30">
      <w:pPr>
        <w:numPr>
          <w:ilvl w:val="0"/>
          <w:numId w:val="12"/>
        </w:numPr>
        <w:ind w:left="643"/>
        <w:contextualSpacing/>
        <w:jc w:val="both"/>
        <w:rPr>
          <w:rFonts w:ascii="Arial" w:eastAsiaTheme="minorEastAsia" w:hAnsi="Arial" w:cs="Arial"/>
          <w:lang w:eastAsia="cs-CZ"/>
        </w:rPr>
      </w:pPr>
      <w:r w:rsidRPr="00522931">
        <w:rPr>
          <w:rFonts w:ascii="Arial" w:eastAsiaTheme="minorEastAsia" w:hAnsi="Arial" w:cs="Arial"/>
          <w:lang w:eastAsia="cs-CZ"/>
        </w:rPr>
        <w:t>Objednatel neposkytuje zálohy.</w:t>
      </w:r>
    </w:p>
    <w:p w14:paraId="27E80906" w14:textId="7A1FCB6D" w:rsidR="007C3D30" w:rsidRPr="001110FF" w:rsidRDefault="007C3D30" w:rsidP="001110FF">
      <w:pPr>
        <w:numPr>
          <w:ilvl w:val="0"/>
          <w:numId w:val="12"/>
        </w:numPr>
        <w:ind w:left="643"/>
        <w:contextualSpacing/>
        <w:jc w:val="both"/>
        <w:rPr>
          <w:rFonts w:ascii="Arial" w:eastAsiaTheme="minorEastAsia" w:hAnsi="Arial" w:cs="Arial"/>
          <w:lang w:eastAsia="cs-CZ"/>
        </w:rPr>
      </w:pPr>
      <w:r w:rsidRPr="001110FF">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p w14:paraId="52079D84" w14:textId="77777777" w:rsidR="007C3D30" w:rsidRPr="001110FF" w:rsidRDefault="007C3D30" w:rsidP="001110FF">
      <w:pPr>
        <w:ind w:left="643"/>
        <w:contextualSpacing/>
        <w:jc w:val="both"/>
        <w:rPr>
          <w:rFonts w:ascii="Arial" w:eastAsiaTheme="minorEastAsia" w:hAnsi="Arial" w:cs="Arial"/>
          <w:lang w:eastAsia="cs-CZ"/>
        </w:rPr>
      </w:pPr>
      <w:r w:rsidRPr="001110FF">
        <w:rPr>
          <w:rFonts w:ascii="Arial" w:eastAsiaTheme="minorEastAsia" w:hAnsi="Arial" w:cs="Arial"/>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7A55C251" w14:textId="77777777" w:rsidR="007C3D30" w:rsidRPr="000A24B8" w:rsidRDefault="007C3D30">
      <w:pPr>
        <w:numPr>
          <w:ilvl w:val="0"/>
          <w:numId w:val="12"/>
        </w:numPr>
        <w:spacing w:after="0"/>
        <w:ind w:left="643"/>
        <w:contextualSpacing/>
        <w:jc w:val="both"/>
        <w:rPr>
          <w:rFonts w:ascii="Arial" w:eastAsiaTheme="minorEastAsia" w:hAnsi="Arial" w:cs="Arial"/>
          <w:lang w:eastAsia="cs-CZ"/>
        </w:rPr>
      </w:pPr>
      <w:r w:rsidRPr="00522931">
        <w:rPr>
          <w:rFonts w:ascii="Arial" w:eastAsiaTheme="minorEastAsia" w:hAnsi="Arial" w:cs="Arial"/>
          <w:lang w:eastAsia="cs-CZ"/>
        </w:rPr>
        <w:t xml:space="preserve">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w:t>
      </w:r>
      <w:r w:rsidRPr="00522931">
        <w:rPr>
          <w:rFonts w:ascii="Arial" w:eastAsiaTheme="minorEastAsia" w:hAnsi="Arial" w:cs="Arial"/>
          <w:lang w:eastAsia="cs-CZ"/>
        </w:rPr>
        <w:lastRenderedPageBreak/>
        <w:t>vady (nedodělky), které nebrání provedení kolaudačního řízení, není objednatel povinen zaplatit zhotoviteli zbývající část ceny za dílo před jejich odstraněním.</w:t>
      </w:r>
    </w:p>
    <w:p w14:paraId="470C96A9" w14:textId="77777777" w:rsidR="007C3D30" w:rsidRPr="00594BBC" w:rsidRDefault="007C3D30" w:rsidP="000A24B8">
      <w:pPr>
        <w:pStyle w:val="Odstavecseseznamem"/>
        <w:numPr>
          <w:ilvl w:val="0"/>
          <w:numId w:val="12"/>
        </w:numPr>
        <w:spacing w:after="0"/>
        <w:ind w:left="643"/>
        <w:jc w:val="both"/>
        <w:rPr>
          <w:rFonts w:ascii="Arial" w:hAnsi="Arial" w:cs="Arial"/>
          <w:lang w:val="x-none"/>
        </w:rPr>
      </w:pPr>
      <w:r w:rsidRPr="00522931">
        <w:rPr>
          <w:rFonts w:ascii="Arial" w:hAnsi="Arial" w:cs="Arial"/>
        </w:rPr>
        <w:t>Daňový doklad (</w:t>
      </w:r>
      <w:r w:rsidRPr="00522931">
        <w:rPr>
          <w:rFonts w:ascii="Arial" w:hAnsi="Arial" w:cs="Arial"/>
          <w:lang w:val="x-none"/>
        </w:rPr>
        <w:t>Faktura</w:t>
      </w:r>
      <w:r w:rsidRPr="00522931">
        <w:rPr>
          <w:rFonts w:ascii="Arial" w:hAnsi="Arial" w:cs="Arial"/>
        </w:rPr>
        <w:t>)</w:t>
      </w:r>
      <w:r w:rsidRPr="00522931">
        <w:rPr>
          <w:rFonts w:ascii="Arial" w:hAnsi="Arial" w:cs="Arial"/>
          <w:lang w:val="x-none"/>
        </w:rPr>
        <w:t xml:space="preserve"> bude vyhotoven ve třech stejnopisech a bude obsahovat náležitosti daňového dokladu požadované</w:t>
      </w:r>
      <w:r w:rsidRPr="00594BBC">
        <w:rPr>
          <w:rFonts w:ascii="Arial" w:hAnsi="Arial" w:cs="Arial"/>
          <w:lang w:val="x-none"/>
        </w:rPr>
        <w:t xml:space="preserve">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8FCA756" w14:textId="77777777" w:rsidR="007C3D30" w:rsidRPr="0091603E" w:rsidRDefault="007C3D30" w:rsidP="007C3D30">
      <w:pPr>
        <w:pStyle w:val="Odstavecseseznamem"/>
        <w:numPr>
          <w:ilvl w:val="0"/>
          <w:numId w:val="12"/>
        </w:numPr>
        <w:ind w:left="720"/>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Pr="00594BBC">
        <w:rPr>
          <w:rFonts w:ascii="Arial" w:hAnsi="Arial" w:cs="Arial"/>
        </w:rPr>
        <w:t xml:space="preserve"> stavebníka</w:t>
      </w:r>
      <w:r>
        <w:rPr>
          <w:rFonts w:ascii="Arial" w:hAnsi="Arial" w:cs="Arial"/>
        </w:rPr>
        <w:t xml:space="preserve"> a objednatelem.</w:t>
      </w:r>
      <w:r w:rsidRPr="00594BBC">
        <w:rPr>
          <w:rFonts w:ascii="Arial" w:hAnsi="Arial" w:cs="Arial"/>
        </w:rPr>
        <w:t xml:space="preserve"> </w:t>
      </w:r>
      <w:r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1FAC7532" w14:textId="77777777" w:rsidR="007C3D30" w:rsidRPr="0091603E" w:rsidRDefault="007C3D30" w:rsidP="007C3D30">
      <w:pPr>
        <w:pStyle w:val="Odstavecseseznamem"/>
        <w:numPr>
          <w:ilvl w:val="0"/>
          <w:numId w:val="12"/>
        </w:numPr>
        <w:ind w:left="720"/>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r w:rsidRPr="0091603E">
        <w:rPr>
          <w:rFonts w:ascii="Arial" w:hAnsi="Arial" w:cs="Arial"/>
        </w:rPr>
        <w:t xml:space="preserve">uvedeny dle </w:t>
      </w:r>
      <w:proofErr w:type="spellStart"/>
      <w:r w:rsidRPr="0091603E">
        <w:rPr>
          <w:rFonts w:ascii="Arial" w:hAnsi="Arial" w:cs="Arial"/>
        </w:rPr>
        <w:t>SoD</w:t>
      </w:r>
      <w:proofErr w:type="spellEnd"/>
      <w:r w:rsidRPr="0091603E">
        <w:rPr>
          <w:rFonts w:ascii="Arial" w:hAnsi="Arial" w:cs="Arial"/>
          <w:lang w:val="x-none"/>
        </w:rPr>
        <w:t>.</w:t>
      </w:r>
    </w:p>
    <w:p w14:paraId="3618C8AB" w14:textId="77777777" w:rsidR="007C3D30" w:rsidRPr="00594BBC" w:rsidRDefault="007C3D30" w:rsidP="007C3D30">
      <w:pPr>
        <w:pStyle w:val="Odstavecseseznamem"/>
        <w:numPr>
          <w:ilvl w:val="0"/>
          <w:numId w:val="12"/>
        </w:numPr>
        <w:ind w:left="720"/>
        <w:jc w:val="both"/>
        <w:rPr>
          <w:rFonts w:ascii="Arial" w:hAnsi="Arial" w:cs="Arial"/>
        </w:rPr>
      </w:pPr>
      <w:r w:rsidRPr="00594BBC">
        <w:rPr>
          <w:rFonts w:ascii="Arial" w:hAnsi="Arial" w:cs="Arial"/>
        </w:rPr>
        <w:t>Na faktuře pro objednatele bude zhotovitel uvádět:</w:t>
      </w:r>
    </w:p>
    <w:p w14:paraId="6FD7293A" w14:textId="77777777" w:rsidR="007C3D30" w:rsidRPr="00594BBC" w:rsidRDefault="007C3D30" w:rsidP="007C3D30">
      <w:pPr>
        <w:pStyle w:val="Odstavecseseznamem"/>
        <w:jc w:val="both"/>
        <w:rPr>
          <w:rFonts w:ascii="Arial" w:hAnsi="Arial" w:cs="Arial"/>
        </w:rPr>
      </w:pPr>
      <w:r w:rsidRPr="00594BBC">
        <w:rPr>
          <w:rFonts w:ascii="Arial" w:hAnsi="Arial" w:cs="Arial"/>
        </w:rPr>
        <w:t>Odběratel: Státní pozemkový úřad, Praha 3, Husinecká 1024/11a, PSČ 130 00, IČO 01312774</w:t>
      </w:r>
    </w:p>
    <w:p w14:paraId="2C557F7F" w14:textId="54A431AF" w:rsidR="007C3D30" w:rsidRPr="00594BBC" w:rsidRDefault="007C3D30" w:rsidP="007C3D30">
      <w:pPr>
        <w:pStyle w:val="Odstavecseseznamem"/>
        <w:jc w:val="both"/>
        <w:rPr>
          <w:rFonts w:ascii="Arial" w:hAnsi="Arial" w:cs="Arial"/>
        </w:rPr>
      </w:pPr>
      <w:r w:rsidRPr="00594BBC">
        <w:rPr>
          <w:rFonts w:ascii="Arial" w:hAnsi="Arial" w:cs="Arial"/>
        </w:rPr>
        <w:t>Konečný příjemce:</w:t>
      </w:r>
      <w:r>
        <w:rPr>
          <w:rFonts w:ascii="Arial" w:hAnsi="Arial" w:cs="Arial"/>
        </w:rPr>
        <w:t xml:space="preserve"> SPÚ</w:t>
      </w:r>
      <w:r w:rsidR="00CB25AB">
        <w:rPr>
          <w:rFonts w:ascii="Arial" w:hAnsi="Arial" w:cs="Arial"/>
        </w:rPr>
        <w:t>,</w:t>
      </w:r>
      <w:r w:rsidR="00FE676B">
        <w:rPr>
          <w:rFonts w:ascii="Arial" w:hAnsi="Arial" w:cs="Arial"/>
        </w:rPr>
        <w:t xml:space="preserve"> </w:t>
      </w:r>
      <w:r>
        <w:rPr>
          <w:rFonts w:ascii="Arial" w:hAnsi="Arial" w:cs="Arial"/>
        </w:rPr>
        <w:t>Pobočka</w:t>
      </w:r>
      <w:r w:rsidR="00FE676B">
        <w:rPr>
          <w:rFonts w:ascii="Arial" w:hAnsi="Arial" w:cs="Arial"/>
          <w:bCs/>
        </w:rPr>
        <w:t xml:space="preserve"> Ústí nad Orlicí, Tvardkova 1191, 561 02 Ústí nad Orlicí </w:t>
      </w:r>
    </w:p>
    <w:p w14:paraId="6708F47D" w14:textId="77777777" w:rsidR="007C3D30" w:rsidRPr="00594BBC" w:rsidRDefault="007C3D30" w:rsidP="007C3D30">
      <w:pPr>
        <w:pStyle w:val="Odstavecseseznamem"/>
        <w:numPr>
          <w:ilvl w:val="0"/>
          <w:numId w:val="12"/>
        </w:numPr>
        <w:ind w:left="720"/>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5D9858F1" w14:textId="77777777" w:rsidR="007C3D30" w:rsidRPr="00DC1BEB" w:rsidRDefault="007C3D30" w:rsidP="007C3D30">
      <w:pPr>
        <w:pStyle w:val="Odstavecseseznamem"/>
        <w:numPr>
          <w:ilvl w:val="0"/>
          <w:numId w:val="12"/>
        </w:numPr>
        <w:ind w:left="720"/>
        <w:jc w:val="both"/>
        <w:rPr>
          <w:rFonts w:ascii="Arial" w:hAnsi="Arial" w:cs="Arial"/>
          <w:lang w:val="x-none"/>
        </w:rPr>
      </w:pPr>
      <w:r w:rsidRPr="00594BBC">
        <w:rPr>
          <w:rFonts w:ascii="Arial" w:hAnsi="Arial" w:cs="Arial"/>
          <w:lang w:val="x-none"/>
        </w:rPr>
        <w:t>Splatnost faktury se stanovuje na 30 kalendářních dnů</w:t>
      </w:r>
      <w:r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38990738" w14:textId="77777777" w:rsidR="007C3D30" w:rsidRPr="00594BBC" w:rsidRDefault="007C3D30" w:rsidP="007C3D30">
      <w:pPr>
        <w:pStyle w:val="Odstavecseseznamem"/>
        <w:numPr>
          <w:ilvl w:val="0"/>
          <w:numId w:val="12"/>
        </w:numPr>
        <w:ind w:left="720"/>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61B6B7DF" w14:textId="77777777" w:rsidR="007C3D30" w:rsidRPr="00F56592" w:rsidRDefault="007C3D30" w:rsidP="007C3D30">
      <w:pPr>
        <w:pStyle w:val="Odstavecseseznamem"/>
        <w:numPr>
          <w:ilvl w:val="0"/>
          <w:numId w:val="12"/>
        </w:numPr>
        <w:ind w:left="720"/>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9B8DF9F" w14:textId="77777777" w:rsidR="007C3D30" w:rsidRPr="0054723C" w:rsidRDefault="007C3D30" w:rsidP="007C3D30">
      <w:pPr>
        <w:pStyle w:val="Odstavecseseznamem"/>
        <w:numPr>
          <w:ilvl w:val="0"/>
          <w:numId w:val="12"/>
        </w:numPr>
        <w:ind w:left="643"/>
        <w:jc w:val="both"/>
        <w:rPr>
          <w:rFonts w:ascii="Arial" w:hAnsi="Arial" w:cs="Arial"/>
        </w:rPr>
      </w:pPr>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p>
    <w:p w14:paraId="0467A909" w14:textId="77777777" w:rsidR="007C3D30" w:rsidRDefault="007C3D30" w:rsidP="007C3D30">
      <w:pPr>
        <w:pStyle w:val="Odstavecseseznamem"/>
        <w:numPr>
          <w:ilvl w:val="0"/>
          <w:numId w:val="12"/>
        </w:numPr>
        <w:ind w:left="643"/>
        <w:jc w:val="both"/>
        <w:rPr>
          <w:rFonts w:ascii="Arial" w:hAnsi="Arial" w:cs="Arial"/>
        </w:rPr>
      </w:pPr>
      <w:r w:rsidRPr="0054723C">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54723C">
        <w:rPr>
          <w:rFonts w:ascii="Arial" w:hAnsi="Arial" w:cs="Arial"/>
        </w:rPr>
        <w:lastRenderedPageBreak/>
        <w:t>objednateli vícero faktur. Zhotovitel je rovněž povinen umožnit přistoupení třetí strany k financování části díla.</w:t>
      </w:r>
    </w:p>
    <w:p w14:paraId="17CC82AF" w14:textId="77777777" w:rsidR="007C3D30" w:rsidRPr="00804E97" w:rsidRDefault="007C3D30" w:rsidP="007C3D30">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6975246D"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r w:rsidR="00E24827">
        <w:rPr>
          <w:rFonts w:ascii="Arial" w:eastAsiaTheme="minorEastAsia" w:hAnsi="Arial" w:cs="Arial"/>
          <w:lang w:eastAsia="cs-CZ"/>
        </w:rPr>
        <w:t>:</w:t>
      </w:r>
    </w:p>
    <w:p w14:paraId="67920911" w14:textId="4A43C853" w:rsidR="002239DD" w:rsidRPr="00A56F14" w:rsidRDefault="002239DD" w:rsidP="002239DD">
      <w:pPr>
        <w:numPr>
          <w:ilvl w:val="0"/>
          <w:numId w:val="36"/>
        </w:numPr>
        <w:contextualSpacing/>
        <w:rPr>
          <w:rFonts w:ascii="Arial" w:eastAsiaTheme="minorEastAsia" w:hAnsi="Arial" w:cs="Arial"/>
          <w:lang w:eastAsia="cs-CZ"/>
        </w:rPr>
      </w:pPr>
      <w:r w:rsidRPr="00A56F14">
        <w:rPr>
          <w:rFonts w:ascii="Arial" w:eastAsiaTheme="minorEastAsia" w:hAnsi="Arial" w:cs="Arial"/>
          <w:lang w:eastAsia="cs-CZ"/>
        </w:rPr>
        <w:t xml:space="preserve">Lhůta pro předání a převzetí staveniště: </w:t>
      </w:r>
      <w:r w:rsidR="0017484B" w:rsidRPr="00D17688">
        <w:rPr>
          <w:rFonts w:ascii="Arial" w:eastAsiaTheme="minorEastAsia" w:hAnsi="Arial" w:cs="Arial"/>
          <w:lang w:eastAsia="cs-CZ"/>
        </w:rPr>
        <w:t>do 1</w:t>
      </w:r>
      <w:r w:rsidR="007141F9" w:rsidRPr="00D17688">
        <w:rPr>
          <w:rFonts w:ascii="Arial" w:eastAsiaTheme="minorEastAsia" w:hAnsi="Arial" w:cs="Arial"/>
          <w:lang w:eastAsia="cs-CZ"/>
        </w:rPr>
        <w:t>5</w:t>
      </w:r>
      <w:r w:rsidR="0017484B" w:rsidRPr="00D17688">
        <w:rPr>
          <w:rFonts w:ascii="Arial" w:eastAsiaTheme="minorEastAsia" w:hAnsi="Arial" w:cs="Arial"/>
          <w:lang w:eastAsia="cs-CZ"/>
        </w:rPr>
        <w:t xml:space="preserve"> pracovních dnů</w:t>
      </w:r>
      <w:bookmarkStart w:id="14" w:name="_Hlk96425213"/>
      <w:r w:rsidRPr="00D17688">
        <w:rPr>
          <w:rFonts w:ascii="Arial" w:eastAsiaTheme="minorEastAsia" w:hAnsi="Arial" w:cs="Arial"/>
          <w:lang w:eastAsia="cs-CZ"/>
        </w:rPr>
        <w:t xml:space="preserve"> od nabytí účinnosti smlouvy</w:t>
      </w:r>
      <w:r w:rsidRPr="00A56F14">
        <w:rPr>
          <w:rFonts w:ascii="Arial" w:eastAsiaTheme="minorEastAsia" w:hAnsi="Arial" w:cs="Arial"/>
          <w:lang w:eastAsia="cs-CZ"/>
        </w:rPr>
        <w:t>.</w:t>
      </w:r>
      <w:bookmarkEnd w:id="14"/>
      <w:r w:rsidRPr="00A56F14">
        <w:rPr>
          <w:rFonts w:ascii="Arial" w:eastAsiaTheme="minorEastAsia" w:hAnsi="Arial" w:cs="Arial"/>
          <w:lang w:eastAsia="cs-CZ"/>
        </w:rPr>
        <w:tab/>
      </w:r>
    </w:p>
    <w:p w14:paraId="6872C430" w14:textId="7FCA0361" w:rsidR="002239DD" w:rsidRPr="00A56F14" w:rsidRDefault="002239DD" w:rsidP="002239DD">
      <w:pPr>
        <w:numPr>
          <w:ilvl w:val="0"/>
          <w:numId w:val="36"/>
        </w:numPr>
        <w:contextualSpacing/>
        <w:rPr>
          <w:rFonts w:ascii="Arial" w:eastAsiaTheme="minorEastAsia" w:hAnsi="Arial" w:cs="Arial"/>
          <w:lang w:eastAsia="cs-CZ"/>
        </w:rPr>
      </w:pPr>
      <w:r w:rsidRPr="00A56F14">
        <w:rPr>
          <w:rFonts w:ascii="Arial" w:eastAsiaTheme="minorEastAsia" w:hAnsi="Arial" w:cs="Arial"/>
          <w:lang w:eastAsia="cs-CZ"/>
        </w:rPr>
        <w:lastRenderedPageBreak/>
        <w:t xml:space="preserve">Lhůta pro zahájení stavebních prací: </w:t>
      </w:r>
      <w:r w:rsidR="00EC61CC" w:rsidRPr="00D17688">
        <w:rPr>
          <w:rFonts w:ascii="Arial" w:eastAsiaTheme="minorEastAsia" w:hAnsi="Arial" w:cs="Arial"/>
          <w:lang w:eastAsia="cs-CZ"/>
        </w:rPr>
        <w:t>do 30</w:t>
      </w:r>
      <w:r w:rsidRPr="00D17688">
        <w:rPr>
          <w:rFonts w:ascii="Arial" w:eastAsiaTheme="minorEastAsia" w:hAnsi="Arial" w:cs="Arial"/>
          <w:lang w:eastAsia="cs-CZ"/>
        </w:rPr>
        <w:t xml:space="preserve"> </w:t>
      </w:r>
      <w:bookmarkStart w:id="15" w:name="_Hlk96425248"/>
      <w:r w:rsidRPr="00D17688">
        <w:rPr>
          <w:rFonts w:ascii="Arial" w:eastAsiaTheme="minorEastAsia" w:hAnsi="Arial" w:cs="Arial"/>
          <w:lang w:eastAsia="cs-CZ"/>
        </w:rPr>
        <w:t>dnů od nabytí účinnosti smlouvy</w:t>
      </w:r>
      <w:r w:rsidRPr="00A56F14">
        <w:rPr>
          <w:rFonts w:ascii="Arial" w:eastAsiaTheme="minorEastAsia" w:hAnsi="Arial" w:cs="Arial"/>
          <w:lang w:eastAsia="cs-CZ"/>
        </w:rPr>
        <w:t xml:space="preserve">.  </w:t>
      </w:r>
      <w:bookmarkEnd w:id="15"/>
    </w:p>
    <w:p w14:paraId="15DD5EAD" w14:textId="3E363D54" w:rsidR="002239DD" w:rsidRPr="00A56F14" w:rsidRDefault="002239DD" w:rsidP="002239DD">
      <w:pPr>
        <w:numPr>
          <w:ilvl w:val="0"/>
          <w:numId w:val="36"/>
        </w:numPr>
        <w:contextualSpacing/>
        <w:rPr>
          <w:rFonts w:ascii="Arial" w:eastAsiaTheme="minorEastAsia" w:hAnsi="Arial" w:cs="Arial"/>
          <w:lang w:eastAsia="cs-CZ"/>
        </w:rPr>
      </w:pPr>
      <w:r w:rsidRPr="00A56F14">
        <w:rPr>
          <w:rFonts w:ascii="Arial" w:eastAsiaTheme="minorEastAsia" w:hAnsi="Arial" w:cs="Arial"/>
          <w:lang w:eastAsia="cs-CZ"/>
        </w:rPr>
        <w:t xml:space="preserve">Lhůta pro dokončení stavebních prací: </w:t>
      </w:r>
      <w:r w:rsidR="00A56F14">
        <w:rPr>
          <w:rFonts w:ascii="Arial" w:eastAsiaTheme="minorEastAsia" w:hAnsi="Arial" w:cs="Arial"/>
          <w:lang w:eastAsia="cs-CZ"/>
        </w:rPr>
        <w:t xml:space="preserve">do </w:t>
      </w:r>
      <w:r w:rsidR="009B7A59" w:rsidRPr="005E0F05">
        <w:rPr>
          <w:rFonts w:ascii="Arial" w:eastAsiaTheme="minorEastAsia" w:hAnsi="Arial" w:cs="Arial"/>
          <w:lang w:eastAsia="cs-CZ"/>
        </w:rPr>
        <w:t>10. 10. 2023</w:t>
      </w:r>
    </w:p>
    <w:p w14:paraId="6885C246" w14:textId="6E3EF62C" w:rsidR="002239DD" w:rsidRPr="00D17688" w:rsidRDefault="002239DD" w:rsidP="002239DD">
      <w:pPr>
        <w:numPr>
          <w:ilvl w:val="0"/>
          <w:numId w:val="36"/>
        </w:numPr>
        <w:contextualSpacing/>
        <w:jc w:val="both"/>
        <w:rPr>
          <w:rFonts w:ascii="Arial" w:eastAsiaTheme="minorEastAsia" w:hAnsi="Arial" w:cs="Arial"/>
          <w:lang w:eastAsia="cs-CZ"/>
        </w:rPr>
      </w:pPr>
      <w:r w:rsidRPr="00A56F14">
        <w:rPr>
          <w:rFonts w:ascii="Arial" w:eastAsiaTheme="minorEastAsia" w:hAnsi="Arial" w:cs="Arial"/>
          <w:lang w:eastAsia="cs-CZ"/>
        </w:rPr>
        <w:t xml:space="preserve">Lhůta pro předání a převzetí dokončeného díla: </w:t>
      </w:r>
      <w:r w:rsidR="00DB401B" w:rsidRPr="00D17688">
        <w:rPr>
          <w:rFonts w:ascii="Arial" w:eastAsiaTheme="minorEastAsia" w:hAnsi="Arial" w:cs="Arial"/>
          <w:lang w:eastAsia="cs-CZ"/>
        </w:rPr>
        <w:t>do 20. 11. 2023</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617EF78C" w14:textId="7EC072F9" w:rsidR="002239DD" w:rsidRPr="00862AD2" w:rsidRDefault="002239DD" w:rsidP="00862AD2">
      <w:pPr>
        <w:numPr>
          <w:ilvl w:val="0"/>
          <w:numId w:val="30"/>
        </w:numPr>
        <w:contextualSpacing/>
        <w:jc w:val="both"/>
        <w:rPr>
          <w:rFonts w:ascii="Arial" w:eastAsiaTheme="minorEastAsia" w:hAnsi="Arial" w:cs="Arial"/>
          <w:lang w:eastAsia="cs-CZ"/>
        </w:rPr>
      </w:pPr>
      <w:r w:rsidRPr="00862AD2">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6"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6"/>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17" w:name="_Hlk36121733"/>
      <w:r w:rsidR="001B686F" w:rsidRPr="008C7AB0">
        <w:rPr>
          <w:rFonts w:ascii="Arial" w:hAnsi="Arial" w:cs="Arial"/>
        </w:rPr>
        <w:t>vad a nedodělků z přejímacího řízení nebo vydáním kolaudačního souhlasu (rozhodující je okolnost, která nastane dříve).</w:t>
      </w:r>
      <w:bookmarkEnd w:id="17"/>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18"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18"/>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lastRenderedPageBreak/>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C2CBA8C"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A12EE0">
        <w:rPr>
          <w:rFonts w:ascii="Arial" w:hAnsi="Arial" w:cs="Arial"/>
        </w:rPr>
        <w:t xml:space="preserve">ve výši </w:t>
      </w:r>
      <w:r w:rsidR="00A12EE0" w:rsidRPr="00862AD2">
        <w:rPr>
          <w:rFonts w:ascii="Arial" w:hAnsi="Arial" w:cs="Arial"/>
        </w:rPr>
        <w:t xml:space="preserve">10 000 000 </w:t>
      </w:r>
      <w:r w:rsidRPr="00862AD2">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w:t>
      </w:r>
      <w:r w:rsidRPr="00594BBC">
        <w:rPr>
          <w:rFonts w:ascii="Arial" w:hAnsi="Arial" w:cs="Arial"/>
        </w:rPr>
        <w:lastRenderedPageBreak/>
        <w:t xml:space="preserve">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19"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0B340D5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0"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0"/>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 xml:space="preserve">Objednatel je povinen upozornit zhotovitele bez zbytečného odkladu na nevhodné </w:t>
      </w:r>
      <w:r w:rsidRPr="00594BBC">
        <w:rPr>
          <w:rFonts w:ascii="Arial" w:hAnsi="Arial" w:cs="Arial"/>
        </w:rPr>
        <w:lastRenderedPageBreak/>
        <w:t>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A1FBA79" w:rsidR="006B54C6" w:rsidRPr="00594BBC" w:rsidRDefault="00C93D07" w:rsidP="0086088C">
      <w:pPr>
        <w:pStyle w:val="Odstavecseseznamem"/>
        <w:jc w:val="both"/>
        <w:rPr>
          <w:rFonts w:ascii="Arial" w:hAnsi="Arial" w:cs="Arial"/>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1" w:name="_Hlk16773999"/>
      <w:r w:rsidR="00AC63F3" w:rsidRPr="00AC63F3">
        <w:rPr>
          <w:rFonts w:ascii="Arial" w:hAnsi="Arial" w:cs="Arial"/>
        </w:rPr>
        <w:t xml:space="preserve">Kontroly se mohou účastnit i zaměstnanci objednatele zařazení v Oddělení investičních činností. </w:t>
      </w:r>
      <w:bookmarkEnd w:id="21"/>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2" w:name="_Hlk16774061"/>
      <w:r w:rsidR="00AC63F3" w:rsidRPr="00AC63F3">
        <w:rPr>
          <w:rFonts w:ascii="Arial" w:hAnsi="Arial" w:cs="Arial"/>
        </w:rPr>
        <w:t>Kontrolních dnů se mohou účastnit i zaměstnanci objednatele zařazení v Oddělení investičních činností.</w:t>
      </w:r>
      <w:bookmarkEnd w:id="22"/>
    </w:p>
    <w:p w14:paraId="745AA13A" w14:textId="09A6F00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3FE83E99" w:rsidR="00414852" w:rsidRPr="00A23AFC" w:rsidRDefault="00414852" w:rsidP="00EF6D19">
      <w:pPr>
        <w:pStyle w:val="Odstavecseseznamem"/>
        <w:numPr>
          <w:ilvl w:val="0"/>
          <w:numId w:val="32"/>
        </w:numPr>
        <w:jc w:val="both"/>
        <w:rPr>
          <w:rFonts w:ascii="Arial" w:hAnsi="Arial" w:cs="Arial"/>
        </w:rPr>
      </w:pPr>
      <w:r w:rsidRPr="00594BBC">
        <w:rPr>
          <w:rFonts w:ascii="Arial" w:hAnsi="Arial" w:cs="Arial"/>
          <w:lang w:val="x-none"/>
        </w:rPr>
        <w:lastRenderedPageBreak/>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w:t>
      </w:r>
      <w:r w:rsidRPr="00A23AFC">
        <w:rPr>
          <w:rFonts w:ascii="Arial" w:hAnsi="Arial" w:cs="Arial"/>
          <w:lang w:val="x-none"/>
        </w:rPr>
        <w:t xml:space="preserve">úřad pro </w:t>
      </w:r>
      <w:r w:rsidR="00A23AFC" w:rsidRPr="00463494">
        <w:rPr>
          <w:rFonts w:ascii="Arial" w:hAnsi="Arial" w:cs="Arial"/>
          <w:lang w:val="en-US"/>
        </w:rPr>
        <w:t>Pardubický kraj</w:t>
      </w:r>
      <w:r w:rsidRPr="00467E7C">
        <w:rPr>
          <w:rFonts w:ascii="Arial" w:hAnsi="Arial" w:cs="Arial"/>
          <w:lang w:val="en-US"/>
        </w:rPr>
        <w:t xml:space="preserve">, Pobočka </w:t>
      </w:r>
      <w:r w:rsidR="00A23AFC" w:rsidRPr="00467E7C">
        <w:rPr>
          <w:rFonts w:ascii="Arial" w:hAnsi="Arial" w:cs="Arial"/>
          <w:lang w:val="en-US"/>
        </w:rPr>
        <w:t>Ú</w:t>
      </w:r>
      <w:r w:rsidR="00A23AFC" w:rsidRPr="00463494">
        <w:rPr>
          <w:rFonts w:ascii="Arial" w:hAnsi="Arial" w:cs="Arial"/>
          <w:lang w:val="en-US"/>
        </w:rPr>
        <w:t>stí nad Orlicí.</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3" w:name="_Hlk40281101"/>
      <w:r w:rsidRPr="00F56592">
        <w:rPr>
          <w:rFonts w:ascii="Arial" w:hAnsi="Arial" w:cs="Arial"/>
        </w:rPr>
        <w:t xml:space="preserve">Objednatel je povinen nejpozději do 5 pracovních dnů ode dne </w:t>
      </w:r>
      <w:bookmarkStart w:id="24" w:name="_Hlk18500891"/>
      <w:r w:rsidRPr="00F56592">
        <w:rPr>
          <w:rFonts w:ascii="Arial" w:hAnsi="Arial" w:cs="Arial"/>
        </w:rPr>
        <w:t>nabytí právní moci kolaudačního souhlasu/rozhodnutí zahájit přejímací řízení a řádně v něm pokračovat.</w:t>
      </w:r>
      <w:bookmarkEnd w:id="24"/>
    </w:p>
    <w:bookmarkEnd w:id="23"/>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463494">
      <w:pPr>
        <w:pStyle w:val="Odstavecseseznamem"/>
        <w:numPr>
          <w:ilvl w:val="0"/>
          <w:numId w:val="32"/>
        </w:numPr>
        <w:spacing w:after="0"/>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463494">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463494">
      <w:pPr>
        <w:pStyle w:val="TSlneksmlouvy"/>
        <w:keepNext w:val="0"/>
        <w:numPr>
          <w:ilvl w:val="0"/>
          <w:numId w:val="32"/>
        </w:numPr>
        <w:spacing w:before="0" w:after="0" w:line="288" w:lineRule="auto"/>
        <w:ind w:left="714" w:hanging="357"/>
        <w:jc w:val="both"/>
        <w:rPr>
          <w:rFonts w:cs="Arial"/>
          <w:b w:val="0"/>
          <w:szCs w:val="22"/>
          <w:u w:val="none"/>
        </w:rPr>
      </w:pPr>
      <w:r w:rsidRPr="00594BBC">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5"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5"/>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6" w:name="_Ref376427534"/>
      <w:r w:rsidRPr="00594BBC">
        <w:rPr>
          <w:rFonts w:cs="Arial"/>
          <w:b w:val="0"/>
          <w:szCs w:val="22"/>
          <w:u w:val="none"/>
        </w:rPr>
        <w:t>Staveniště bylo vyklizeno a případné úpravy okolí byly provedeny do 15 kalendářních dnů po předání a převzetí díla.</w:t>
      </w:r>
      <w:bookmarkEnd w:id="26"/>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27"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27"/>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463494">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CB6A63C"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w:t>
      </w:r>
      <w:r w:rsidRPr="00B14A5B">
        <w:rPr>
          <w:rFonts w:ascii="Arial" w:hAnsi="Arial" w:cs="Arial"/>
          <w:lang w:val="x-none"/>
        </w:rPr>
        <w:t xml:space="preserve">díla v délce </w:t>
      </w:r>
      <w:r w:rsidR="00B14A5B" w:rsidRPr="00136B30">
        <w:rPr>
          <w:rFonts w:ascii="Arial" w:hAnsi="Arial" w:cs="Arial"/>
          <w:lang w:val="en-US"/>
        </w:rPr>
        <w:t>60</w:t>
      </w:r>
      <w:r w:rsidR="00F81870" w:rsidRPr="00B14A5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413F88DF" w:rsidR="00DC7E4C" w:rsidRPr="00594BBC" w:rsidRDefault="00DC7E4C" w:rsidP="00DC7E4C">
      <w:pPr>
        <w:pStyle w:val="Odstavecseseznamem"/>
        <w:numPr>
          <w:ilvl w:val="0"/>
          <w:numId w:val="31"/>
        </w:numPr>
        <w:jc w:val="both"/>
        <w:rPr>
          <w:rFonts w:ascii="Arial" w:hAnsi="Arial" w:cs="Arial"/>
        </w:rPr>
      </w:pPr>
      <w:bookmarkStart w:id="28" w:name="_Ref376379662"/>
      <w:r w:rsidRPr="00594BBC">
        <w:rPr>
          <w:rFonts w:ascii="Arial" w:hAnsi="Arial" w:cs="Arial"/>
        </w:rPr>
        <w:t xml:space="preserve">Zhotovitel se zavazuje uhradit smluvní pokutu ve výši </w:t>
      </w:r>
      <w:r w:rsidR="00F12F86">
        <w:rPr>
          <w:rFonts w:ascii="Arial" w:hAnsi="Arial" w:cs="Arial"/>
        </w:rPr>
        <w:t>0,</w:t>
      </w:r>
      <w:r w:rsidR="001D350F">
        <w:rPr>
          <w:rFonts w:ascii="Arial" w:hAnsi="Arial" w:cs="Arial"/>
        </w:rPr>
        <w:t>5</w:t>
      </w:r>
      <w:r w:rsidR="00A21EEE">
        <w:rPr>
          <w:rFonts w:ascii="Arial" w:hAnsi="Arial" w:cs="Arial"/>
        </w:rPr>
        <w:t xml:space="preserve"> </w:t>
      </w:r>
      <w:r w:rsidR="00F12F86">
        <w:rPr>
          <w:rFonts w:ascii="Arial" w:hAnsi="Arial" w:cs="Arial"/>
        </w:rPr>
        <w:t>%</w:t>
      </w:r>
      <w:r w:rsidR="00F12F86" w:rsidRPr="00594BBC">
        <w:rPr>
          <w:rFonts w:ascii="Arial" w:hAnsi="Arial" w:cs="Arial"/>
        </w:rPr>
        <w:t xml:space="preserve">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3E80ADDE"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357673">
        <w:rPr>
          <w:rFonts w:ascii="Arial" w:hAnsi="Arial" w:cs="Arial"/>
        </w:rPr>
        <w:t>0,5 %</w:t>
      </w:r>
      <w:r w:rsidR="00357673"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D07FACD"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E953A4">
        <w:rPr>
          <w:rFonts w:ascii="Arial" w:hAnsi="Arial" w:cs="Arial"/>
        </w:rPr>
        <w:t>0,5</w:t>
      </w:r>
      <w:r w:rsidR="00E953A4" w:rsidRPr="00594BBC">
        <w:rPr>
          <w:rFonts w:ascii="Arial" w:hAnsi="Arial" w:cs="Arial"/>
        </w:rPr>
        <w:t xml:space="preserve"> </w:t>
      </w:r>
      <w:r w:rsidR="001D350F">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629BCF6E" w:rsidR="00DC7E4C" w:rsidRPr="00DC1BEB" w:rsidRDefault="00F81870" w:rsidP="00DC1BEB">
      <w:pPr>
        <w:pStyle w:val="Odstavecseseznamem"/>
        <w:numPr>
          <w:ilvl w:val="0"/>
          <w:numId w:val="31"/>
        </w:numPr>
        <w:jc w:val="both"/>
        <w:rPr>
          <w:rFonts w:ascii="Arial" w:hAnsi="Arial" w:cs="Arial"/>
          <w:lang w:val="x-none"/>
        </w:rPr>
      </w:pPr>
      <w:bookmarkStart w:id="29" w:name="_Hlk72322488"/>
      <w:bookmarkStart w:id="30" w:name="_Hlk72404528"/>
      <w:r w:rsidRPr="00D9780F">
        <w:rPr>
          <w:rFonts w:ascii="Arial" w:hAnsi="Arial" w:cs="Arial"/>
          <w:lang w:val="x-none"/>
        </w:rPr>
        <w:lastRenderedPageBreak/>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0F4ACC">
        <w:rPr>
          <w:rFonts w:ascii="Arial" w:hAnsi="Arial" w:cs="Arial"/>
        </w:rPr>
        <w:t>0,1 %</w:t>
      </w:r>
      <w:r w:rsidR="000F4ACC"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29"/>
      <w:bookmarkEnd w:id="30"/>
    </w:p>
    <w:bookmarkEnd w:id="28"/>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649B238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0F4ACC">
        <w:rPr>
          <w:rFonts w:ascii="Arial" w:hAnsi="Arial" w:cs="Arial"/>
        </w:rPr>
        <w:t xml:space="preserve"> </w:t>
      </w:r>
      <w:r w:rsidRPr="00EE022E">
        <w:rPr>
          <w:rFonts w:ascii="Arial" w:hAnsi="Arial" w:cs="Arial"/>
        </w:rPr>
        <w:t>Kč bez DPH za každý i započatý den prodlení.</w:t>
      </w:r>
    </w:p>
    <w:p w14:paraId="348CB3DC" w14:textId="3F66C0A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1127138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0801CCEA"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3E57935E"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10.000</w:t>
      </w:r>
      <w:r w:rsidR="00FC3263">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1"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2" w:name="_Hlk127434438"/>
      <w:r w:rsidRPr="001D4255">
        <w:rPr>
          <w:rFonts w:ascii="Arial" w:hAnsi="Arial" w:cs="Arial"/>
        </w:rPr>
        <w:lastRenderedPageBreak/>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1"/>
    <w:bookmarkEnd w:id="32"/>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3"/>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w:t>
      </w:r>
      <w:r w:rsidRPr="0054723C">
        <w:rPr>
          <w:rFonts w:ascii="Arial" w:hAnsi="Arial" w:cs="Arial"/>
        </w:rPr>
        <w:lastRenderedPageBreak/>
        <w:t>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4"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4"/>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594BBC">
        <w:rPr>
          <w:rFonts w:ascii="Arial" w:hAnsi="Arial" w:cs="Arial"/>
        </w:rPr>
        <w:lastRenderedPageBreak/>
        <w:t>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165F3B24" w:rsidR="00C72B3E" w:rsidRPr="008377B5" w:rsidRDefault="00C72B3E" w:rsidP="001B4B43">
      <w:pPr>
        <w:spacing w:after="0"/>
        <w:ind w:firstLine="708"/>
        <w:jc w:val="both"/>
        <w:rPr>
          <w:rFonts w:ascii="Arial" w:hAnsi="Arial" w:cs="Arial"/>
        </w:rPr>
      </w:pPr>
      <w:r w:rsidRPr="008377B5">
        <w:rPr>
          <w:rFonts w:ascii="Arial" w:hAnsi="Arial" w:cs="Arial"/>
        </w:rPr>
        <w:t xml:space="preserve">Jméno: </w:t>
      </w:r>
      <w:r w:rsidR="00105D6D">
        <w:rPr>
          <w:rFonts w:ascii="Arial" w:hAnsi="Arial" w:cs="Arial"/>
        </w:rPr>
        <w:t>Ing. Alexandr Mikuláš</w:t>
      </w:r>
      <w:r w:rsidRPr="008377B5">
        <w:rPr>
          <w:rFonts w:ascii="Arial" w:hAnsi="Arial" w:cs="Arial"/>
        </w:rPr>
        <w:tab/>
      </w:r>
    </w:p>
    <w:p w14:paraId="69C8E8E3" w14:textId="1F1F7941" w:rsidR="00C72B3E" w:rsidRPr="008377B5" w:rsidRDefault="00C72B3E" w:rsidP="001B4B43">
      <w:pPr>
        <w:spacing w:after="0"/>
        <w:ind w:left="426" w:firstLine="282"/>
        <w:jc w:val="both"/>
        <w:rPr>
          <w:rFonts w:ascii="Arial" w:hAnsi="Arial" w:cs="Arial"/>
        </w:rPr>
      </w:pPr>
      <w:r w:rsidRPr="008377B5">
        <w:rPr>
          <w:rFonts w:ascii="Arial" w:hAnsi="Arial" w:cs="Arial"/>
        </w:rPr>
        <w:t>Tel.:</w:t>
      </w:r>
      <w:r w:rsidR="00B04E29">
        <w:rPr>
          <w:rFonts w:ascii="Arial" w:hAnsi="Arial" w:cs="Arial"/>
        </w:rPr>
        <w:t xml:space="preserve"> 602 311 545</w:t>
      </w:r>
      <w:r w:rsidR="00105D6D">
        <w:rPr>
          <w:rFonts w:ascii="Arial" w:hAnsi="Arial" w:cs="Arial"/>
        </w:rPr>
        <w:t xml:space="preserve"> </w:t>
      </w:r>
      <w:r w:rsidRPr="008377B5">
        <w:rPr>
          <w:rFonts w:ascii="Arial" w:hAnsi="Arial" w:cs="Arial"/>
        </w:rPr>
        <w:tab/>
      </w:r>
    </w:p>
    <w:p w14:paraId="5B9B4C84" w14:textId="534F456A" w:rsidR="00C72B3E" w:rsidRPr="008377B5" w:rsidRDefault="00C72B3E" w:rsidP="001B4B43">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B3B78" w:rsidRPr="007B3B78">
        <w:rPr>
          <w:rFonts w:ascii="Arial" w:hAnsi="Arial" w:cs="Arial"/>
        </w:rPr>
        <w:t>a.mikulas@spucr.cz</w:t>
      </w:r>
    </w:p>
    <w:p w14:paraId="11F23A0C" w14:textId="77777777" w:rsidR="007B3B78" w:rsidRDefault="007B3B78" w:rsidP="004E6B67">
      <w:pPr>
        <w:spacing w:after="120"/>
        <w:ind w:left="426" w:firstLine="282"/>
        <w:jc w:val="both"/>
        <w:rPr>
          <w:rFonts w:ascii="Arial" w:hAnsi="Arial" w:cs="Arial"/>
        </w:rPr>
      </w:pPr>
    </w:p>
    <w:p w14:paraId="6FD34E0D" w14:textId="0D0EF5A4"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1B4B43" w:rsidRDefault="00C72B3E" w:rsidP="001B4B43">
      <w:pPr>
        <w:spacing w:after="0"/>
        <w:ind w:left="425" w:firstLine="284"/>
        <w:jc w:val="both"/>
        <w:rPr>
          <w:rFonts w:ascii="Arial" w:hAnsi="Arial" w:cs="Arial"/>
          <w:highlight w:val="yellow"/>
        </w:rPr>
      </w:pPr>
      <w:r w:rsidRPr="001B4B43">
        <w:rPr>
          <w:rFonts w:ascii="Arial" w:hAnsi="Arial" w:cs="Arial"/>
          <w:highlight w:val="yellow"/>
        </w:rPr>
        <w:t>Jméno/funkce:</w:t>
      </w:r>
      <w:r w:rsidRPr="001B4B43">
        <w:rPr>
          <w:rFonts w:ascii="Arial" w:hAnsi="Arial" w:cs="Arial"/>
          <w:highlight w:val="yellow"/>
        </w:rPr>
        <w:tab/>
      </w:r>
    </w:p>
    <w:p w14:paraId="2273B29D" w14:textId="77777777" w:rsidR="00C72B3E" w:rsidRPr="001B4B43" w:rsidRDefault="00C72B3E" w:rsidP="001B4B43">
      <w:pPr>
        <w:spacing w:after="0"/>
        <w:ind w:left="425" w:firstLine="284"/>
        <w:jc w:val="both"/>
        <w:rPr>
          <w:rFonts w:ascii="Arial" w:hAnsi="Arial" w:cs="Arial"/>
          <w:highlight w:val="yellow"/>
        </w:rPr>
      </w:pPr>
      <w:r w:rsidRPr="001B4B43">
        <w:rPr>
          <w:rFonts w:ascii="Arial" w:hAnsi="Arial" w:cs="Arial"/>
          <w:highlight w:val="yellow"/>
        </w:rPr>
        <w:t>Tel.:</w:t>
      </w:r>
      <w:r w:rsidRPr="001B4B43">
        <w:rPr>
          <w:rFonts w:ascii="Arial" w:hAnsi="Arial" w:cs="Arial"/>
          <w:highlight w:val="yellow"/>
        </w:rPr>
        <w:tab/>
      </w:r>
    </w:p>
    <w:p w14:paraId="4B97E470" w14:textId="77777777" w:rsidR="00C72B3E" w:rsidRPr="008377B5" w:rsidRDefault="00C72B3E" w:rsidP="001B4B43">
      <w:pPr>
        <w:spacing w:after="0"/>
        <w:ind w:left="425" w:firstLine="284"/>
        <w:jc w:val="both"/>
        <w:rPr>
          <w:rFonts w:ascii="Arial" w:hAnsi="Arial" w:cs="Arial"/>
        </w:rPr>
      </w:pPr>
      <w:r w:rsidRPr="001B4B43">
        <w:rPr>
          <w:rFonts w:ascii="Arial" w:hAnsi="Arial" w:cs="Arial"/>
          <w:highlight w:val="yellow"/>
        </w:rPr>
        <w:t>E-mail:</w:t>
      </w:r>
      <w:r w:rsidRPr="008377B5">
        <w:rPr>
          <w:rFonts w:ascii="Arial" w:hAnsi="Arial" w:cs="Arial"/>
        </w:rPr>
        <w:tab/>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5" w:name="_Hlk125972258"/>
      <w:r>
        <w:rPr>
          <w:rFonts w:ascii="Arial" w:hAnsi="Arial" w:cs="Arial"/>
        </w:rPr>
        <w:t xml:space="preserve">Zhotovitel podpisem této Smlouvy bere na vědomí, že </w:t>
      </w:r>
      <w:bookmarkEnd w:id="35"/>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36"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lastRenderedPageBreak/>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046FA2BA"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1B4B43">
        <w:rPr>
          <w:rFonts w:ascii="Arial" w:hAnsi="Arial" w:cs="Arial"/>
          <w:lang w:val="en-US"/>
        </w:rPr>
        <w:t>30.6.</w:t>
      </w:r>
      <w:r w:rsidR="007B3B78" w:rsidRPr="007B3B78">
        <w:rPr>
          <w:rFonts w:ascii="Arial" w:hAnsi="Arial" w:cs="Arial"/>
          <w:lang w:val="en-US"/>
        </w:rPr>
        <w:t>2023</w:t>
      </w:r>
      <w:r w:rsidRPr="007B3B78">
        <w:rPr>
          <w:rFonts w:ascii="Arial" w:hAnsi="Arial" w:cs="Arial"/>
          <w:lang w:val="en-US"/>
        </w:rPr>
        <w:t xml:space="preserve">, </w:t>
      </w:r>
      <w:r w:rsidRPr="007B3B78">
        <w:rPr>
          <w:rFonts w:ascii="Arial" w:hAnsi="Arial" w:cs="Arial"/>
        </w:rPr>
        <w:t>vyhrazuje si právo dle § 2001 občanského zákoníku od smlouvy odstoupit.</w:t>
      </w:r>
    </w:p>
    <w:bookmarkEnd w:id="36"/>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7"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6E4D00"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w:t>
      </w:r>
      <w:r w:rsidRPr="006E4D00">
        <w:rPr>
          <w:rFonts w:ascii="Arial" w:hAnsi="Arial" w:cs="Arial"/>
        </w:rPr>
        <w:t xml:space="preserve">porušení </w:t>
      </w:r>
      <w:r w:rsidR="00E73632" w:rsidRPr="006E4D00">
        <w:rPr>
          <w:rFonts w:ascii="Arial" w:hAnsi="Arial" w:cs="Arial"/>
        </w:rPr>
        <w:t xml:space="preserve">této </w:t>
      </w:r>
      <w:r w:rsidRPr="006E4D00">
        <w:rPr>
          <w:rFonts w:ascii="Arial" w:hAnsi="Arial" w:cs="Arial"/>
        </w:rPr>
        <w:t>smlouvy v tomto bodě nedopustila.</w:t>
      </w:r>
    </w:p>
    <w:p w14:paraId="531B3CF3" w14:textId="77777777" w:rsidR="00943F4A" w:rsidRPr="006E4D00" w:rsidRDefault="00943F4A" w:rsidP="001B4B43">
      <w:pPr>
        <w:pStyle w:val="Odstavecseseznamem"/>
        <w:numPr>
          <w:ilvl w:val="0"/>
          <w:numId w:val="19"/>
        </w:numPr>
        <w:spacing w:after="0"/>
        <w:jc w:val="both"/>
        <w:rPr>
          <w:rFonts w:ascii="Arial" w:hAnsi="Arial" w:cs="Arial"/>
        </w:rPr>
      </w:pPr>
      <w:r w:rsidRPr="006E4D00">
        <w:rPr>
          <w:rFonts w:ascii="Arial" w:hAnsi="Arial" w:cs="Arial"/>
          <w:lang w:val="x-none"/>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43AA19F8" w14:textId="1AA61C0C" w:rsidR="00425E0C" w:rsidRPr="006E4D00" w:rsidRDefault="00425E0C">
      <w:pPr>
        <w:spacing w:after="0"/>
        <w:ind w:left="720"/>
        <w:contextualSpacing/>
        <w:jc w:val="both"/>
        <w:rPr>
          <w:rFonts w:ascii="Arial" w:hAnsi="Arial" w:cs="Arial"/>
        </w:rPr>
      </w:pPr>
      <w:r w:rsidRPr="006E4D00">
        <w:rPr>
          <w:rFonts w:ascii="Arial" w:hAnsi="Arial" w:cs="Arial"/>
        </w:rPr>
        <w:t>K prověření mocnosti finální vrstvy provede zhotovitel na své náklady kontrolní vrty v</w:t>
      </w:r>
      <w:r w:rsidR="00DA3E16" w:rsidRPr="006E4D00">
        <w:rPr>
          <w:rFonts w:ascii="Arial" w:hAnsi="Arial" w:cs="Arial"/>
        </w:rPr>
        <w:t> </w:t>
      </w:r>
      <w:r w:rsidRPr="006E4D00">
        <w:rPr>
          <w:rFonts w:ascii="Arial" w:hAnsi="Arial" w:cs="Arial"/>
        </w:rPr>
        <w:t>místech</w:t>
      </w:r>
      <w:r w:rsidR="00DA3E16" w:rsidRPr="006E4D00">
        <w:rPr>
          <w:rFonts w:ascii="Arial" w:hAnsi="Arial" w:cs="Arial"/>
        </w:rPr>
        <w:t>,</w:t>
      </w:r>
      <w:r w:rsidRPr="006E4D00">
        <w:rPr>
          <w:rFonts w:ascii="Arial" w:hAnsi="Arial" w:cs="Arial"/>
        </w:rPr>
        <w:t xml:space="preserve"> kde určí objednatel, a to nejméně 2x na 500 m délky u cest s povrchem z asfaltové směsi.</w:t>
      </w:r>
    </w:p>
    <w:p w14:paraId="3E09EE66" w14:textId="6D9702A5" w:rsidR="00661ABF" w:rsidRPr="001B4B43" w:rsidRDefault="00425E0C" w:rsidP="00F8025E">
      <w:pPr>
        <w:numPr>
          <w:ilvl w:val="0"/>
          <w:numId w:val="19"/>
        </w:numPr>
        <w:contextualSpacing/>
        <w:jc w:val="both"/>
        <w:rPr>
          <w:rFonts w:ascii="Arial" w:hAnsi="Arial" w:cs="Arial"/>
          <w:lang w:val="en-US"/>
        </w:rPr>
      </w:pPr>
      <w:r w:rsidRPr="00467E7C">
        <w:rPr>
          <w:rFonts w:ascii="Arial" w:hAnsi="Arial" w:cs="Arial"/>
        </w:rPr>
        <w:t xml:space="preserve">V případě, že se poddodavatel bude podílet na provedení díla, tak nebude plněna </w:t>
      </w:r>
      <w:r w:rsidRPr="006E4D00">
        <w:rPr>
          <w:rFonts w:ascii="Arial" w:hAnsi="Arial" w:cs="Arial"/>
        </w:rPr>
        <w:t>poddodavatelem</w:t>
      </w:r>
      <w:r w:rsidRPr="00467E7C">
        <w:rPr>
          <w:rFonts w:ascii="Arial" w:hAnsi="Arial" w:cs="Arial"/>
        </w:rPr>
        <w:t xml:space="preserve"> následující část díla týkající se níže uvedených položek v soupisu prací</w:t>
      </w:r>
      <w:r w:rsidR="00F8025E" w:rsidRPr="001B4B43">
        <w:rPr>
          <w:rFonts w:ascii="Arial" w:hAnsi="Arial" w:cs="Arial"/>
          <w:lang w:val="en-US"/>
        </w:rPr>
        <w:t xml:space="preserve">: </w:t>
      </w:r>
      <w:r w:rsidR="006E4D00" w:rsidRPr="001B4B43">
        <w:rPr>
          <w:rFonts w:ascii="Arial" w:hAnsi="Arial" w:cs="Arial"/>
          <w:highlight w:val="yellow"/>
          <w:lang w:val="en-US"/>
        </w:rPr>
        <w:t>-----</w:t>
      </w:r>
    </w:p>
    <w:p w14:paraId="5B060534" w14:textId="77777777" w:rsidR="006E4D00" w:rsidRPr="00594BBC" w:rsidRDefault="006E4D00" w:rsidP="001B4B43">
      <w:pPr>
        <w:ind w:left="720"/>
        <w:contextualSpacing/>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8" w:name="_Hlk13049894"/>
      <w:bookmarkStart w:id="39"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0" w:name="_Hlk13049910"/>
      <w:bookmarkEnd w:id="38"/>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39"/>
    <w:bookmarkEnd w:id="4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lastRenderedPageBreak/>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2"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FC3E3F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1 této smlouvy je specifikace díla</w:t>
      </w:r>
      <w:r w:rsidR="00666190">
        <w:rPr>
          <w:rFonts w:ascii="Arial" w:hAnsi="Arial" w:cs="Arial"/>
        </w:rPr>
        <w:t>.</w:t>
      </w:r>
      <w:r w:rsidRPr="00594BBC">
        <w:rPr>
          <w:rFonts w:ascii="Arial" w:hAnsi="Arial" w:cs="Arial"/>
          <w:lang w:val="x-none"/>
        </w:rPr>
        <w:t xml:space="preserve">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55B3CF79" w14:textId="77777777" w:rsidR="00E53795" w:rsidRDefault="00E53795" w:rsidP="00E53795">
            <w:pPr>
              <w:rPr>
                <w:rFonts w:ascii="Arial" w:hAnsi="Arial" w:cs="Arial"/>
                <w:b/>
                <w:bCs/>
              </w:rPr>
            </w:pPr>
            <w:r w:rsidRPr="00487887">
              <w:rPr>
                <w:rFonts w:ascii="Arial" w:hAnsi="Arial" w:cs="Arial"/>
                <w:b/>
                <w:bCs/>
              </w:rPr>
              <w:t>Objednatel</w:t>
            </w:r>
          </w:p>
          <w:p w14:paraId="6E2B2EDE" w14:textId="77777777" w:rsidR="00E53795" w:rsidRDefault="00E53795" w:rsidP="00E53795">
            <w:pPr>
              <w:rPr>
                <w:rFonts w:ascii="Arial" w:hAnsi="Arial" w:cs="Arial"/>
                <w:b/>
                <w:bCs/>
              </w:rPr>
            </w:pPr>
            <w:r>
              <w:rPr>
                <w:rFonts w:ascii="Arial" w:hAnsi="Arial" w:cs="Arial"/>
                <w:b/>
                <w:bCs/>
              </w:rPr>
              <w:t>Ing. Miroslav Kučera,</w:t>
            </w:r>
            <w:r>
              <w:rPr>
                <w:rFonts w:ascii="Arial" w:hAnsi="Arial" w:cs="Arial"/>
                <w:b/>
                <w:bCs/>
              </w:rPr>
              <w:br/>
              <w:t>ředitel Krajského pozemkového</w:t>
            </w:r>
            <w:r>
              <w:rPr>
                <w:rFonts w:ascii="Arial" w:hAnsi="Arial" w:cs="Arial"/>
                <w:b/>
                <w:bCs/>
              </w:rPr>
              <w:br/>
              <w:t>úřadu pro Pardubický kraj</w:t>
            </w:r>
          </w:p>
          <w:p w14:paraId="6693B2BC" w14:textId="77777777" w:rsidR="002F7F93" w:rsidRPr="00487887" w:rsidRDefault="002F7F93" w:rsidP="00524E7D">
            <w:pPr>
              <w:rPr>
                <w:rFonts w:ascii="Arial" w:hAnsi="Arial" w:cs="Arial"/>
                <w:b/>
                <w:bCs/>
              </w:rPr>
            </w:pPr>
          </w:p>
        </w:tc>
        <w:tc>
          <w:tcPr>
            <w:tcW w:w="4606" w:type="dxa"/>
            <w:gridSpan w:val="2"/>
            <w:shd w:val="clear" w:color="auto" w:fill="auto"/>
          </w:tcPr>
          <w:p w14:paraId="4B3CBB13" w14:textId="77777777" w:rsidR="002F7F93" w:rsidRDefault="002F7F93" w:rsidP="00524E7D">
            <w:pPr>
              <w:rPr>
                <w:rFonts w:ascii="Arial" w:hAnsi="Arial" w:cs="Arial"/>
                <w:b/>
                <w:bCs/>
              </w:rPr>
            </w:pPr>
            <w:r w:rsidRPr="00487887">
              <w:rPr>
                <w:rFonts w:ascii="Arial" w:hAnsi="Arial" w:cs="Arial"/>
                <w:b/>
                <w:bCs/>
              </w:rPr>
              <w:t>zhotovitel</w:t>
            </w:r>
          </w:p>
          <w:p w14:paraId="73E1AD81" w14:textId="77777777" w:rsidR="002F7F93" w:rsidRPr="000724FB" w:rsidRDefault="002F7F93" w:rsidP="00524E7D">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62F36709" w14:textId="59CF4CF4" w:rsidR="00605045" w:rsidRPr="007B4C8D" w:rsidRDefault="00605045" w:rsidP="0060504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134E3D">
        <w:rPr>
          <w:rFonts w:ascii="Arial" w:hAnsi="Arial" w:cs="Arial"/>
          <w:b/>
          <w:bCs/>
          <w:sz w:val="24"/>
          <w:szCs w:val="24"/>
          <w:u w:val="single"/>
        </w:rPr>
        <w:t>1</w:t>
      </w:r>
      <w:r>
        <w:rPr>
          <w:rFonts w:ascii="Arial" w:hAnsi="Arial" w:cs="Arial"/>
          <w:b/>
          <w:bCs/>
          <w:sz w:val="24"/>
          <w:szCs w:val="24"/>
          <w:u w:val="single"/>
        </w:rPr>
        <w:t xml:space="preserve"> </w:t>
      </w:r>
      <w:r w:rsidR="00134E3D">
        <w:rPr>
          <w:rFonts w:ascii="Arial" w:hAnsi="Arial" w:cs="Arial"/>
          <w:b/>
          <w:bCs/>
          <w:sz w:val="24"/>
          <w:szCs w:val="24"/>
          <w:u w:val="single"/>
        </w:rPr>
        <w:t>Specifikace díla</w:t>
      </w:r>
    </w:p>
    <w:p w14:paraId="1A1C69C0" w14:textId="77777777" w:rsidR="00605045" w:rsidRDefault="00605045" w:rsidP="00605045">
      <w:pPr>
        <w:tabs>
          <w:tab w:val="left" w:pos="4536"/>
        </w:tabs>
        <w:rPr>
          <w:rFonts w:ascii="Arial" w:hAnsi="Arial" w:cs="Arial"/>
          <w:b/>
          <w:bCs/>
        </w:rPr>
      </w:pPr>
      <w:r>
        <w:rPr>
          <w:rFonts w:ascii="Arial" w:hAnsi="Arial" w:cs="Arial"/>
          <w:b/>
          <w:bCs/>
        </w:rPr>
        <w:t xml:space="preserve">SO – 102 Polní cesta H4 </w:t>
      </w:r>
    </w:p>
    <w:p w14:paraId="4F119828"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P 4,5/20</w:t>
      </w:r>
    </w:p>
    <w:p w14:paraId="71071337"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Povrch asfaltobeton střednězrnný</w:t>
      </w:r>
    </w:p>
    <w:p w14:paraId="37791945"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Šířka jízdního pruhu</w:t>
      </w:r>
      <w:r>
        <w:rPr>
          <w:rFonts w:ascii="Arial" w:hAnsi="Arial" w:cs="Arial"/>
        </w:rPr>
        <w:tab/>
        <w:t xml:space="preserve"> 3,5 m + 2x0,5 m krajnice</w:t>
      </w:r>
    </w:p>
    <w:p w14:paraId="3BCB424F"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 xml:space="preserve">Délka komunikace </w:t>
      </w:r>
      <w:r>
        <w:rPr>
          <w:rFonts w:ascii="Arial" w:hAnsi="Arial" w:cs="Arial"/>
        </w:rPr>
        <w:tab/>
        <w:t>1196,1 m</w:t>
      </w:r>
    </w:p>
    <w:p w14:paraId="7FBBAD28"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 xml:space="preserve">Levostranný sjezd </w:t>
      </w:r>
      <w:r>
        <w:rPr>
          <w:rFonts w:ascii="Arial" w:hAnsi="Arial" w:cs="Arial"/>
        </w:rPr>
        <w:tab/>
        <w:t>6 ks</w:t>
      </w:r>
    </w:p>
    <w:p w14:paraId="5DEEDD47"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 xml:space="preserve">Pravostranný sjezd </w:t>
      </w:r>
      <w:r>
        <w:rPr>
          <w:rFonts w:ascii="Arial" w:hAnsi="Arial" w:cs="Arial"/>
        </w:rPr>
        <w:tab/>
        <w:t>4 ks</w:t>
      </w:r>
    </w:p>
    <w:p w14:paraId="2FABCF7A"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 xml:space="preserve">Pravostranné výhybny </w:t>
      </w:r>
      <w:r>
        <w:rPr>
          <w:rFonts w:ascii="Arial" w:hAnsi="Arial" w:cs="Arial"/>
        </w:rPr>
        <w:tab/>
        <w:t>2 ks</w:t>
      </w:r>
    </w:p>
    <w:p w14:paraId="6D433743"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 xml:space="preserve">Nový prefabrikovaný žlab </w:t>
      </w:r>
      <w:r>
        <w:rPr>
          <w:rFonts w:ascii="Arial" w:hAnsi="Arial" w:cs="Arial"/>
        </w:rPr>
        <w:tab/>
        <w:t>1 ks</w:t>
      </w:r>
    </w:p>
    <w:p w14:paraId="46ABEB2B" w14:textId="77777777" w:rsidR="00605045" w:rsidRDefault="00605045" w:rsidP="00605045">
      <w:pPr>
        <w:tabs>
          <w:tab w:val="left" w:pos="4536"/>
        </w:tabs>
        <w:autoSpaceDE w:val="0"/>
        <w:autoSpaceDN w:val="0"/>
        <w:adjustRightInd w:val="0"/>
        <w:spacing w:after="0" w:line="240" w:lineRule="auto"/>
        <w:rPr>
          <w:rFonts w:ascii="Arial" w:hAnsi="Arial" w:cs="Arial"/>
        </w:rPr>
      </w:pPr>
    </w:p>
    <w:p w14:paraId="4C69A4C4"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Konstrukční skladba:</w:t>
      </w:r>
    </w:p>
    <w:p w14:paraId="0BE2CC5F"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xml:space="preserve">- asfaltobeton střednězrnný ACO 11 </w:t>
      </w:r>
      <w:r>
        <w:rPr>
          <w:rFonts w:ascii="Arial" w:hAnsi="Arial" w:cs="Arial"/>
        </w:rPr>
        <w:tab/>
        <w:t>40 mm</w:t>
      </w:r>
    </w:p>
    <w:p w14:paraId="16C711D6"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xml:space="preserve">- spojovací postřik z </w:t>
      </w:r>
      <w:proofErr w:type="spellStart"/>
      <w:r>
        <w:rPr>
          <w:rFonts w:ascii="Arial" w:hAnsi="Arial" w:cs="Arial"/>
        </w:rPr>
        <w:t>kationaktivní</w:t>
      </w:r>
      <w:proofErr w:type="spellEnd"/>
      <w:r>
        <w:rPr>
          <w:rFonts w:ascii="Arial" w:hAnsi="Arial" w:cs="Arial"/>
        </w:rPr>
        <w:t xml:space="preserve"> asfaltové emulze</w:t>
      </w:r>
    </w:p>
    <w:p w14:paraId="6E03F07E"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xml:space="preserve">pro spojovací postřiky v množství zbytkového asfaltu </w:t>
      </w:r>
      <w:r>
        <w:rPr>
          <w:rFonts w:ascii="Arial" w:hAnsi="Arial" w:cs="Arial"/>
        </w:rPr>
        <w:tab/>
        <w:t>0,2 kg/m2</w:t>
      </w:r>
    </w:p>
    <w:p w14:paraId="282E02FE"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xml:space="preserve">- obalované kamenivo ACP 16+ </w:t>
      </w:r>
      <w:r>
        <w:rPr>
          <w:rFonts w:ascii="Arial" w:hAnsi="Arial" w:cs="Arial"/>
        </w:rPr>
        <w:tab/>
        <w:t>50 mm</w:t>
      </w:r>
    </w:p>
    <w:p w14:paraId="08358F70"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xml:space="preserve">- spojovací postřik z </w:t>
      </w:r>
      <w:proofErr w:type="spellStart"/>
      <w:r>
        <w:rPr>
          <w:rFonts w:ascii="Arial" w:hAnsi="Arial" w:cs="Arial"/>
        </w:rPr>
        <w:t>kationaktivní</w:t>
      </w:r>
      <w:proofErr w:type="spellEnd"/>
      <w:r>
        <w:rPr>
          <w:rFonts w:ascii="Arial" w:hAnsi="Arial" w:cs="Arial"/>
        </w:rPr>
        <w:t xml:space="preserve"> asfaltové emulze</w:t>
      </w:r>
    </w:p>
    <w:p w14:paraId="09CC61E8"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xml:space="preserve">pro spojovací postřiky v množství zbytkového asfaltu </w:t>
      </w:r>
      <w:r>
        <w:rPr>
          <w:rFonts w:ascii="Arial" w:hAnsi="Arial" w:cs="Arial"/>
        </w:rPr>
        <w:tab/>
        <w:t>0,45 kg/m2</w:t>
      </w:r>
    </w:p>
    <w:p w14:paraId="00D4A6D3"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xml:space="preserve">- vibrovaný štěrk – ČSN 736126-2 VŠ </w:t>
      </w:r>
      <w:r>
        <w:rPr>
          <w:rFonts w:ascii="Arial" w:hAnsi="Arial" w:cs="Arial"/>
        </w:rPr>
        <w:tab/>
        <w:t xml:space="preserve">150 mm </w:t>
      </w:r>
    </w:p>
    <w:p w14:paraId="7910A033"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xml:space="preserve">- </w:t>
      </w:r>
      <w:proofErr w:type="spellStart"/>
      <w:r>
        <w:rPr>
          <w:rFonts w:ascii="Arial" w:hAnsi="Arial" w:cs="Arial"/>
        </w:rPr>
        <w:t>ŠDb</w:t>
      </w:r>
      <w:proofErr w:type="spellEnd"/>
      <w:r>
        <w:rPr>
          <w:rFonts w:ascii="Arial" w:hAnsi="Arial" w:cs="Arial"/>
        </w:rPr>
        <w:t xml:space="preserve"> (0-63 mm) ŠD </w:t>
      </w:r>
      <w:r>
        <w:rPr>
          <w:rFonts w:ascii="Arial" w:hAnsi="Arial" w:cs="Arial"/>
        </w:rPr>
        <w:tab/>
        <w:t xml:space="preserve">200 mm </w:t>
      </w:r>
    </w:p>
    <w:p w14:paraId="0DDEC389"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xml:space="preserve">- upravená pláň komunikace se zhutněním 30 </w:t>
      </w:r>
      <w:proofErr w:type="spellStart"/>
      <w:r>
        <w:rPr>
          <w:rFonts w:ascii="Arial" w:hAnsi="Arial" w:cs="Arial"/>
        </w:rPr>
        <w:t>MPa</w:t>
      </w:r>
      <w:proofErr w:type="spellEnd"/>
    </w:p>
    <w:p w14:paraId="3600194A" w14:textId="77777777" w:rsidR="00605045" w:rsidRDefault="00605045" w:rsidP="00605045">
      <w:pPr>
        <w:tabs>
          <w:tab w:val="left" w:pos="6946"/>
        </w:tabs>
        <w:autoSpaceDE w:val="0"/>
        <w:autoSpaceDN w:val="0"/>
        <w:adjustRightInd w:val="0"/>
        <w:spacing w:after="0" w:line="240" w:lineRule="auto"/>
        <w:rPr>
          <w:rFonts w:ascii="Arial" w:hAnsi="Arial" w:cs="Arial"/>
        </w:rPr>
      </w:pPr>
      <w:r>
        <w:rPr>
          <w:rFonts w:ascii="Arial" w:hAnsi="Arial" w:cs="Arial"/>
        </w:rPr>
        <w:t>- stabilizované podloží – 15,9 kg/ m²</w:t>
      </w:r>
      <w:r>
        <w:rPr>
          <w:rFonts w:ascii="Arial" w:hAnsi="Arial" w:cs="Arial"/>
        </w:rPr>
        <w:tab/>
        <w:t xml:space="preserve">v </w:t>
      </w:r>
      <w:proofErr w:type="spellStart"/>
      <w:r>
        <w:rPr>
          <w:rFonts w:ascii="Arial" w:hAnsi="Arial" w:cs="Arial"/>
        </w:rPr>
        <w:t>tl</w:t>
      </w:r>
      <w:proofErr w:type="spellEnd"/>
      <w:r>
        <w:rPr>
          <w:rFonts w:ascii="Arial" w:hAnsi="Arial" w:cs="Arial"/>
        </w:rPr>
        <w:t>. 300 mm</w:t>
      </w:r>
    </w:p>
    <w:p w14:paraId="3CD70067" w14:textId="77777777" w:rsidR="00605045" w:rsidRDefault="00605045" w:rsidP="00605045">
      <w:pPr>
        <w:tabs>
          <w:tab w:val="left" w:pos="4536"/>
        </w:tabs>
        <w:spacing w:after="0"/>
        <w:rPr>
          <w:rFonts w:ascii="Arial" w:hAnsi="Arial" w:cs="Arial"/>
        </w:rPr>
      </w:pPr>
    </w:p>
    <w:p w14:paraId="1F374510" w14:textId="77777777" w:rsidR="00605045" w:rsidRDefault="00605045" w:rsidP="00605045">
      <w:pPr>
        <w:tabs>
          <w:tab w:val="left" w:pos="4536"/>
        </w:tabs>
        <w:spacing w:after="0"/>
        <w:rPr>
          <w:rFonts w:ascii="Arial" w:hAnsi="Arial" w:cs="Arial"/>
        </w:rPr>
      </w:pPr>
    </w:p>
    <w:p w14:paraId="266141E4" w14:textId="77777777" w:rsidR="00605045" w:rsidRDefault="00605045" w:rsidP="00605045">
      <w:pPr>
        <w:tabs>
          <w:tab w:val="left" w:pos="4536"/>
        </w:tabs>
        <w:autoSpaceDE w:val="0"/>
        <w:autoSpaceDN w:val="0"/>
        <w:adjustRightInd w:val="0"/>
        <w:spacing w:after="0" w:line="240" w:lineRule="auto"/>
        <w:rPr>
          <w:rFonts w:ascii="Arial" w:hAnsi="Arial" w:cs="Arial"/>
          <w:b/>
          <w:bCs/>
        </w:rPr>
      </w:pPr>
      <w:r>
        <w:rPr>
          <w:rFonts w:ascii="Arial" w:hAnsi="Arial" w:cs="Arial"/>
          <w:b/>
          <w:bCs/>
        </w:rPr>
        <w:t>SO – 102a Příkop nerealizované PC V6</w:t>
      </w:r>
    </w:p>
    <w:p w14:paraId="7C29A1D0"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Délka 287,5 m</w:t>
      </w:r>
    </w:p>
    <w:p w14:paraId="6431AE88"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 xml:space="preserve">Sejmutí humózní vrstvy </w:t>
      </w:r>
      <w:proofErr w:type="spellStart"/>
      <w:r>
        <w:rPr>
          <w:rFonts w:ascii="Arial" w:hAnsi="Arial" w:cs="Arial"/>
        </w:rPr>
        <w:t>tl</w:t>
      </w:r>
      <w:proofErr w:type="spellEnd"/>
      <w:r>
        <w:rPr>
          <w:rFonts w:ascii="Arial" w:hAnsi="Arial" w:cs="Arial"/>
        </w:rPr>
        <w:t>. 200 mm</w:t>
      </w:r>
    </w:p>
    <w:p w14:paraId="61018EEA"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Sklon svahu k cestě 1:1,5</w:t>
      </w:r>
    </w:p>
    <w:p w14:paraId="13D49C59"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Sklon svahu od cesty 1:1</w:t>
      </w:r>
    </w:p>
    <w:p w14:paraId="5E7EC70A"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 xml:space="preserve">Ohumusování osetí </w:t>
      </w:r>
      <w:proofErr w:type="spellStart"/>
      <w:r>
        <w:rPr>
          <w:rFonts w:ascii="Arial" w:hAnsi="Arial" w:cs="Arial"/>
        </w:rPr>
        <w:t>tl</w:t>
      </w:r>
      <w:proofErr w:type="spellEnd"/>
      <w:r>
        <w:rPr>
          <w:rFonts w:ascii="Arial" w:hAnsi="Arial" w:cs="Arial"/>
        </w:rPr>
        <w:t>. 100 mm</w:t>
      </w:r>
    </w:p>
    <w:p w14:paraId="40A6BA20"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Zaústění do nového trubního propustku DN 500, dl. 4,7 m</w:t>
      </w:r>
    </w:p>
    <w:p w14:paraId="573F4241" w14:textId="77777777" w:rsidR="00605045" w:rsidRDefault="00605045" w:rsidP="00605045">
      <w:pPr>
        <w:tabs>
          <w:tab w:val="left" w:pos="4536"/>
        </w:tabs>
        <w:autoSpaceDE w:val="0"/>
        <w:autoSpaceDN w:val="0"/>
        <w:adjustRightInd w:val="0"/>
        <w:spacing w:after="0" w:line="240" w:lineRule="auto"/>
        <w:rPr>
          <w:rFonts w:ascii="Arial" w:hAnsi="Arial" w:cs="Arial"/>
        </w:rPr>
      </w:pPr>
      <w:r>
        <w:rPr>
          <w:rFonts w:ascii="Arial" w:hAnsi="Arial" w:cs="Arial"/>
        </w:rPr>
        <w:t>Ocelové zábradlí</w:t>
      </w:r>
    </w:p>
    <w:p w14:paraId="0D8DD250" w14:textId="77777777" w:rsidR="00605045" w:rsidRDefault="00605045" w:rsidP="00835F77">
      <w:pPr>
        <w:autoSpaceDE w:val="0"/>
        <w:autoSpaceDN w:val="0"/>
        <w:adjustRightInd w:val="0"/>
        <w:spacing w:before="100" w:beforeAutospacing="1" w:after="120"/>
        <w:jc w:val="both"/>
        <w:rPr>
          <w:rFonts w:ascii="Arial" w:hAnsi="Arial" w:cs="Arial"/>
          <w:b/>
          <w:bCs/>
          <w:sz w:val="24"/>
          <w:szCs w:val="24"/>
          <w:u w:val="single"/>
        </w:rPr>
      </w:pPr>
    </w:p>
    <w:p w14:paraId="03BE52B5" w14:textId="77777777" w:rsidR="00DA21B1" w:rsidRDefault="00DA21B1">
      <w:pPr>
        <w:rPr>
          <w:rFonts w:ascii="Arial" w:hAnsi="Arial" w:cs="Arial"/>
          <w:b/>
          <w:bCs/>
          <w:sz w:val="24"/>
          <w:szCs w:val="24"/>
          <w:u w:val="single"/>
        </w:rPr>
      </w:pPr>
      <w:r>
        <w:rPr>
          <w:rFonts w:ascii="Arial" w:hAnsi="Arial" w:cs="Arial"/>
          <w:b/>
          <w:bCs/>
          <w:sz w:val="24"/>
          <w:szCs w:val="24"/>
          <w:u w:val="single"/>
        </w:rPr>
        <w:br w:type="page"/>
      </w:r>
    </w:p>
    <w:p w14:paraId="13424DE9" w14:textId="33CBC6D6"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75AB9" w14:textId="77777777" w:rsidR="003E014F" w:rsidRDefault="003E014F" w:rsidP="006C3D15">
      <w:pPr>
        <w:spacing w:after="0" w:line="240" w:lineRule="auto"/>
      </w:pPr>
      <w:r>
        <w:separator/>
      </w:r>
    </w:p>
  </w:endnote>
  <w:endnote w:type="continuationSeparator" w:id="0">
    <w:p w14:paraId="62B58385" w14:textId="77777777" w:rsidR="003E014F" w:rsidRDefault="003E014F" w:rsidP="006C3D15">
      <w:pPr>
        <w:spacing w:after="0" w:line="240" w:lineRule="auto"/>
      </w:pPr>
      <w:r>
        <w:continuationSeparator/>
      </w:r>
    </w:p>
  </w:endnote>
  <w:endnote w:type="continuationNotice" w:id="1">
    <w:p w14:paraId="155BD6E2" w14:textId="77777777" w:rsidR="003E014F" w:rsidRDefault="003E01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25A82" w14:textId="77777777" w:rsidR="003E014F" w:rsidRDefault="003E014F" w:rsidP="006C3D15">
      <w:pPr>
        <w:spacing w:after="0" w:line="240" w:lineRule="auto"/>
      </w:pPr>
      <w:r>
        <w:separator/>
      </w:r>
    </w:p>
  </w:footnote>
  <w:footnote w:type="continuationSeparator" w:id="0">
    <w:p w14:paraId="188FF99A" w14:textId="77777777" w:rsidR="003E014F" w:rsidRDefault="003E014F" w:rsidP="006C3D15">
      <w:pPr>
        <w:spacing w:after="0" w:line="240" w:lineRule="auto"/>
      </w:pPr>
      <w:r>
        <w:continuationSeparator/>
      </w:r>
    </w:p>
  </w:footnote>
  <w:footnote w:type="continuationNotice" w:id="1">
    <w:p w14:paraId="21942C43" w14:textId="77777777" w:rsidR="003E014F" w:rsidRDefault="003E01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EC1CCD"/>
    <w:multiLevelType w:val="hybridMultilevel"/>
    <w:tmpl w:val="3ABCD098"/>
    <w:lvl w:ilvl="0" w:tplc="0405000F">
      <w:start w:val="1"/>
      <w:numFmt w:val="decimal"/>
      <w:lvlText w:val="%1."/>
      <w:lvlJc w:val="left"/>
      <w:pPr>
        <w:ind w:left="1857" w:hanging="360"/>
      </w:pPr>
    </w:lvl>
    <w:lvl w:ilvl="1" w:tplc="04050019" w:tentative="1">
      <w:start w:val="1"/>
      <w:numFmt w:val="lowerLetter"/>
      <w:lvlText w:val="%2."/>
      <w:lvlJc w:val="left"/>
      <w:pPr>
        <w:ind w:left="2577" w:hanging="360"/>
      </w:pPr>
    </w:lvl>
    <w:lvl w:ilvl="2" w:tplc="0405001B" w:tentative="1">
      <w:start w:val="1"/>
      <w:numFmt w:val="lowerRoman"/>
      <w:lvlText w:val="%3."/>
      <w:lvlJc w:val="right"/>
      <w:pPr>
        <w:ind w:left="3297" w:hanging="180"/>
      </w:pPr>
    </w:lvl>
    <w:lvl w:ilvl="3" w:tplc="0405000F" w:tentative="1">
      <w:start w:val="1"/>
      <w:numFmt w:val="decimal"/>
      <w:lvlText w:val="%4."/>
      <w:lvlJc w:val="left"/>
      <w:pPr>
        <w:ind w:left="4017" w:hanging="360"/>
      </w:pPr>
    </w:lvl>
    <w:lvl w:ilvl="4" w:tplc="04050019" w:tentative="1">
      <w:start w:val="1"/>
      <w:numFmt w:val="lowerLetter"/>
      <w:lvlText w:val="%5."/>
      <w:lvlJc w:val="left"/>
      <w:pPr>
        <w:ind w:left="4737" w:hanging="360"/>
      </w:pPr>
    </w:lvl>
    <w:lvl w:ilvl="5" w:tplc="0405001B" w:tentative="1">
      <w:start w:val="1"/>
      <w:numFmt w:val="lowerRoman"/>
      <w:lvlText w:val="%6."/>
      <w:lvlJc w:val="right"/>
      <w:pPr>
        <w:ind w:left="5457" w:hanging="180"/>
      </w:pPr>
    </w:lvl>
    <w:lvl w:ilvl="6" w:tplc="0405000F" w:tentative="1">
      <w:start w:val="1"/>
      <w:numFmt w:val="decimal"/>
      <w:lvlText w:val="%7."/>
      <w:lvlJc w:val="left"/>
      <w:pPr>
        <w:ind w:left="6177" w:hanging="360"/>
      </w:pPr>
    </w:lvl>
    <w:lvl w:ilvl="7" w:tplc="04050019" w:tentative="1">
      <w:start w:val="1"/>
      <w:numFmt w:val="lowerLetter"/>
      <w:lvlText w:val="%8."/>
      <w:lvlJc w:val="left"/>
      <w:pPr>
        <w:ind w:left="6897" w:hanging="360"/>
      </w:pPr>
    </w:lvl>
    <w:lvl w:ilvl="8" w:tplc="0405001B" w:tentative="1">
      <w:start w:val="1"/>
      <w:numFmt w:val="lowerRoman"/>
      <w:lvlText w:val="%9."/>
      <w:lvlJc w:val="right"/>
      <w:pPr>
        <w:ind w:left="7617"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BE5087B6"/>
    <w:lvl w:ilvl="0" w:tplc="0405000F">
      <w:start w:val="1"/>
      <w:numFmt w:val="decimal"/>
      <w:lvlText w:val="%1."/>
      <w:lvlJc w:val="left"/>
      <w:pPr>
        <w:ind w:left="786"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C478E532"/>
    <w:lvl w:ilvl="0" w:tplc="04050019">
      <w:start w:val="1"/>
      <w:numFmt w:val="lowerLetter"/>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9"/>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1"/>
  </w:num>
  <w:num w:numId="15">
    <w:abstractNumId w:val="33"/>
  </w:num>
  <w:num w:numId="16">
    <w:abstractNumId w:val="16"/>
  </w:num>
  <w:num w:numId="17">
    <w:abstractNumId w:val="4"/>
  </w:num>
  <w:num w:numId="18">
    <w:abstractNumId w:val="6"/>
  </w:num>
  <w:num w:numId="19">
    <w:abstractNumId w:val="32"/>
  </w:num>
  <w:num w:numId="20">
    <w:abstractNumId w:val="34"/>
  </w:num>
  <w:num w:numId="21">
    <w:abstractNumId w:val="5"/>
  </w:num>
  <w:num w:numId="22">
    <w:abstractNumId w:val="22"/>
  </w:num>
  <w:num w:numId="23">
    <w:abstractNumId w:val="44"/>
  </w:num>
  <w:num w:numId="24">
    <w:abstractNumId w:val="7"/>
  </w:num>
  <w:num w:numId="25">
    <w:abstractNumId w:val="26"/>
  </w:num>
  <w:num w:numId="26">
    <w:abstractNumId w:val="20"/>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5"/>
  </w:num>
  <w:num w:numId="36">
    <w:abstractNumId w:val="12"/>
  </w:num>
  <w:num w:numId="37">
    <w:abstractNumId w:val="18"/>
  </w:num>
  <w:num w:numId="38">
    <w:abstractNumId w:val="45"/>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5D3"/>
    <w:rsid w:val="00014DFF"/>
    <w:rsid w:val="00021D46"/>
    <w:rsid w:val="000246D6"/>
    <w:rsid w:val="00030326"/>
    <w:rsid w:val="00031368"/>
    <w:rsid w:val="00031BB1"/>
    <w:rsid w:val="00032B6F"/>
    <w:rsid w:val="00037097"/>
    <w:rsid w:val="00041866"/>
    <w:rsid w:val="000453FC"/>
    <w:rsid w:val="0005077C"/>
    <w:rsid w:val="00050E94"/>
    <w:rsid w:val="000559CD"/>
    <w:rsid w:val="00057F5D"/>
    <w:rsid w:val="0006252D"/>
    <w:rsid w:val="0007027E"/>
    <w:rsid w:val="000711AF"/>
    <w:rsid w:val="000735AF"/>
    <w:rsid w:val="00077C8B"/>
    <w:rsid w:val="00080D4E"/>
    <w:rsid w:val="00092614"/>
    <w:rsid w:val="00095434"/>
    <w:rsid w:val="0009667F"/>
    <w:rsid w:val="000A24B8"/>
    <w:rsid w:val="000B37F2"/>
    <w:rsid w:val="000B4D43"/>
    <w:rsid w:val="000C068C"/>
    <w:rsid w:val="000C44DE"/>
    <w:rsid w:val="000C5534"/>
    <w:rsid w:val="000C7EA1"/>
    <w:rsid w:val="000D2ECE"/>
    <w:rsid w:val="000E2E39"/>
    <w:rsid w:val="000F3BC9"/>
    <w:rsid w:val="000F4ACC"/>
    <w:rsid w:val="00103202"/>
    <w:rsid w:val="00105D6D"/>
    <w:rsid w:val="001110FF"/>
    <w:rsid w:val="00112151"/>
    <w:rsid w:val="001216DB"/>
    <w:rsid w:val="001304D2"/>
    <w:rsid w:val="00131A69"/>
    <w:rsid w:val="00132638"/>
    <w:rsid w:val="00133FD7"/>
    <w:rsid w:val="00134E3D"/>
    <w:rsid w:val="00135622"/>
    <w:rsid w:val="00136B30"/>
    <w:rsid w:val="00140A1A"/>
    <w:rsid w:val="0014530C"/>
    <w:rsid w:val="001461AB"/>
    <w:rsid w:val="001529B2"/>
    <w:rsid w:val="00154381"/>
    <w:rsid w:val="001557DF"/>
    <w:rsid w:val="001574EC"/>
    <w:rsid w:val="0017223B"/>
    <w:rsid w:val="0017484B"/>
    <w:rsid w:val="00182861"/>
    <w:rsid w:val="0018578F"/>
    <w:rsid w:val="001A46FA"/>
    <w:rsid w:val="001B4B43"/>
    <w:rsid w:val="001B530C"/>
    <w:rsid w:val="001B686F"/>
    <w:rsid w:val="001C5C37"/>
    <w:rsid w:val="001C7BD0"/>
    <w:rsid w:val="001D2503"/>
    <w:rsid w:val="001D350F"/>
    <w:rsid w:val="001E3AD2"/>
    <w:rsid w:val="001E4D0C"/>
    <w:rsid w:val="001F195F"/>
    <w:rsid w:val="001F3878"/>
    <w:rsid w:val="001F7A38"/>
    <w:rsid w:val="001F7F5E"/>
    <w:rsid w:val="00205191"/>
    <w:rsid w:val="00212C73"/>
    <w:rsid w:val="002239DD"/>
    <w:rsid w:val="002441E2"/>
    <w:rsid w:val="002449A1"/>
    <w:rsid w:val="00244C1D"/>
    <w:rsid w:val="00245C7B"/>
    <w:rsid w:val="002577D2"/>
    <w:rsid w:val="0026338A"/>
    <w:rsid w:val="0027416E"/>
    <w:rsid w:val="00274C77"/>
    <w:rsid w:val="002903FB"/>
    <w:rsid w:val="002906C9"/>
    <w:rsid w:val="0029535F"/>
    <w:rsid w:val="002A0E91"/>
    <w:rsid w:val="002A2E4F"/>
    <w:rsid w:val="002A4ABF"/>
    <w:rsid w:val="002E08DD"/>
    <w:rsid w:val="002F6B97"/>
    <w:rsid w:val="002F7F93"/>
    <w:rsid w:val="003015F1"/>
    <w:rsid w:val="00304A3D"/>
    <w:rsid w:val="00306BF4"/>
    <w:rsid w:val="00312ED6"/>
    <w:rsid w:val="00325832"/>
    <w:rsid w:val="00326DC0"/>
    <w:rsid w:val="00330953"/>
    <w:rsid w:val="00332612"/>
    <w:rsid w:val="003347B4"/>
    <w:rsid w:val="00335D1A"/>
    <w:rsid w:val="003373DB"/>
    <w:rsid w:val="003426A5"/>
    <w:rsid w:val="00346559"/>
    <w:rsid w:val="0034744B"/>
    <w:rsid w:val="00350B9E"/>
    <w:rsid w:val="00357673"/>
    <w:rsid w:val="003701E8"/>
    <w:rsid w:val="00376ADD"/>
    <w:rsid w:val="00381351"/>
    <w:rsid w:val="00395F22"/>
    <w:rsid w:val="003A0D1F"/>
    <w:rsid w:val="003B3EF5"/>
    <w:rsid w:val="003C2341"/>
    <w:rsid w:val="003D21B7"/>
    <w:rsid w:val="003D4E4A"/>
    <w:rsid w:val="003D7879"/>
    <w:rsid w:val="003E014F"/>
    <w:rsid w:val="003E578B"/>
    <w:rsid w:val="003E67A6"/>
    <w:rsid w:val="003F1E01"/>
    <w:rsid w:val="00402F0C"/>
    <w:rsid w:val="00414852"/>
    <w:rsid w:val="00414A8B"/>
    <w:rsid w:val="00416B9C"/>
    <w:rsid w:val="00423BC3"/>
    <w:rsid w:val="00423C70"/>
    <w:rsid w:val="00425E0C"/>
    <w:rsid w:val="00431C3D"/>
    <w:rsid w:val="004322D2"/>
    <w:rsid w:val="00443AC5"/>
    <w:rsid w:val="00447D8F"/>
    <w:rsid w:val="00452208"/>
    <w:rsid w:val="00456E78"/>
    <w:rsid w:val="00463206"/>
    <w:rsid w:val="00463494"/>
    <w:rsid w:val="00467E7C"/>
    <w:rsid w:val="00475267"/>
    <w:rsid w:val="00484897"/>
    <w:rsid w:val="00495A8D"/>
    <w:rsid w:val="004972C6"/>
    <w:rsid w:val="004A1F97"/>
    <w:rsid w:val="004A3587"/>
    <w:rsid w:val="004A51FA"/>
    <w:rsid w:val="004A6DB0"/>
    <w:rsid w:val="004B6B1F"/>
    <w:rsid w:val="004C043C"/>
    <w:rsid w:val="004C5E36"/>
    <w:rsid w:val="004D19FE"/>
    <w:rsid w:val="004D30BA"/>
    <w:rsid w:val="004D32DE"/>
    <w:rsid w:val="004D7DBD"/>
    <w:rsid w:val="004E04CC"/>
    <w:rsid w:val="004E6B67"/>
    <w:rsid w:val="00502776"/>
    <w:rsid w:val="005052C0"/>
    <w:rsid w:val="005054A0"/>
    <w:rsid w:val="005107D3"/>
    <w:rsid w:val="005145D8"/>
    <w:rsid w:val="005153F5"/>
    <w:rsid w:val="00522931"/>
    <w:rsid w:val="00524E7D"/>
    <w:rsid w:val="005300C1"/>
    <w:rsid w:val="00533091"/>
    <w:rsid w:val="00534963"/>
    <w:rsid w:val="0053640A"/>
    <w:rsid w:val="0054049B"/>
    <w:rsid w:val="005614E4"/>
    <w:rsid w:val="00563034"/>
    <w:rsid w:val="005643D1"/>
    <w:rsid w:val="00576629"/>
    <w:rsid w:val="00576CB0"/>
    <w:rsid w:val="00577229"/>
    <w:rsid w:val="00577472"/>
    <w:rsid w:val="00582A4B"/>
    <w:rsid w:val="00586738"/>
    <w:rsid w:val="00594BBC"/>
    <w:rsid w:val="00597BAF"/>
    <w:rsid w:val="00597D41"/>
    <w:rsid w:val="005A4592"/>
    <w:rsid w:val="005B4750"/>
    <w:rsid w:val="005C4C66"/>
    <w:rsid w:val="005D6ACB"/>
    <w:rsid w:val="005E0F05"/>
    <w:rsid w:val="005E2ED2"/>
    <w:rsid w:val="0060148E"/>
    <w:rsid w:val="00605045"/>
    <w:rsid w:val="00610CE2"/>
    <w:rsid w:val="00612D36"/>
    <w:rsid w:val="00615DDC"/>
    <w:rsid w:val="0061643C"/>
    <w:rsid w:val="00616E93"/>
    <w:rsid w:val="00627129"/>
    <w:rsid w:val="00634568"/>
    <w:rsid w:val="00640802"/>
    <w:rsid w:val="006445FC"/>
    <w:rsid w:val="00646665"/>
    <w:rsid w:val="006615F7"/>
    <w:rsid w:val="00661ABF"/>
    <w:rsid w:val="00666190"/>
    <w:rsid w:val="00667192"/>
    <w:rsid w:val="006809BE"/>
    <w:rsid w:val="00693320"/>
    <w:rsid w:val="0069623E"/>
    <w:rsid w:val="006A0E3A"/>
    <w:rsid w:val="006A10D0"/>
    <w:rsid w:val="006B54C6"/>
    <w:rsid w:val="006C1ADD"/>
    <w:rsid w:val="006C3D15"/>
    <w:rsid w:val="006C50C2"/>
    <w:rsid w:val="006D3086"/>
    <w:rsid w:val="006E3ECD"/>
    <w:rsid w:val="006E4D00"/>
    <w:rsid w:val="007065C1"/>
    <w:rsid w:val="007066DD"/>
    <w:rsid w:val="0071116A"/>
    <w:rsid w:val="007141F9"/>
    <w:rsid w:val="007144AC"/>
    <w:rsid w:val="007220A5"/>
    <w:rsid w:val="0073094A"/>
    <w:rsid w:val="0073434C"/>
    <w:rsid w:val="00736CB9"/>
    <w:rsid w:val="00745CF0"/>
    <w:rsid w:val="00750EEE"/>
    <w:rsid w:val="00751ADB"/>
    <w:rsid w:val="00751B6D"/>
    <w:rsid w:val="00754827"/>
    <w:rsid w:val="00755995"/>
    <w:rsid w:val="007637B1"/>
    <w:rsid w:val="00774494"/>
    <w:rsid w:val="00775910"/>
    <w:rsid w:val="0078516C"/>
    <w:rsid w:val="007958B9"/>
    <w:rsid w:val="007B3B78"/>
    <w:rsid w:val="007B3C89"/>
    <w:rsid w:val="007B5508"/>
    <w:rsid w:val="007B6C8C"/>
    <w:rsid w:val="007B7429"/>
    <w:rsid w:val="007C1C3C"/>
    <w:rsid w:val="007C3D30"/>
    <w:rsid w:val="007C4870"/>
    <w:rsid w:val="007C5F1F"/>
    <w:rsid w:val="007D0A5C"/>
    <w:rsid w:val="007E03E7"/>
    <w:rsid w:val="007E21ED"/>
    <w:rsid w:val="007E4CA2"/>
    <w:rsid w:val="007F6FDD"/>
    <w:rsid w:val="00802050"/>
    <w:rsid w:val="00802395"/>
    <w:rsid w:val="0082745D"/>
    <w:rsid w:val="0083048F"/>
    <w:rsid w:val="008320B9"/>
    <w:rsid w:val="00834C7B"/>
    <w:rsid w:val="00835F77"/>
    <w:rsid w:val="00840C42"/>
    <w:rsid w:val="0084517D"/>
    <w:rsid w:val="0085076A"/>
    <w:rsid w:val="008524E7"/>
    <w:rsid w:val="0086088C"/>
    <w:rsid w:val="008613B9"/>
    <w:rsid w:val="008620D5"/>
    <w:rsid w:val="00862AD2"/>
    <w:rsid w:val="0086685B"/>
    <w:rsid w:val="00867924"/>
    <w:rsid w:val="008756DA"/>
    <w:rsid w:val="00882B62"/>
    <w:rsid w:val="008B1E2E"/>
    <w:rsid w:val="008B2143"/>
    <w:rsid w:val="008B56B5"/>
    <w:rsid w:val="008C18A0"/>
    <w:rsid w:val="008C2596"/>
    <w:rsid w:val="008C279D"/>
    <w:rsid w:val="008C2DF0"/>
    <w:rsid w:val="008D4E02"/>
    <w:rsid w:val="008F6D4A"/>
    <w:rsid w:val="008F7A56"/>
    <w:rsid w:val="00904A22"/>
    <w:rsid w:val="009067EB"/>
    <w:rsid w:val="0091603E"/>
    <w:rsid w:val="00920F2C"/>
    <w:rsid w:val="00922B4E"/>
    <w:rsid w:val="009269A7"/>
    <w:rsid w:val="00930EAC"/>
    <w:rsid w:val="00935617"/>
    <w:rsid w:val="00936A18"/>
    <w:rsid w:val="0094028E"/>
    <w:rsid w:val="00943F4A"/>
    <w:rsid w:val="0094762E"/>
    <w:rsid w:val="009504BB"/>
    <w:rsid w:val="00950A27"/>
    <w:rsid w:val="00967051"/>
    <w:rsid w:val="009725BB"/>
    <w:rsid w:val="00977BF8"/>
    <w:rsid w:val="00986CE4"/>
    <w:rsid w:val="00991CCC"/>
    <w:rsid w:val="009A035E"/>
    <w:rsid w:val="009A6F40"/>
    <w:rsid w:val="009B3B28"/>
    <w:rsid w:val="009B6F8D"/>
    <w:rsid w:val="009B7A59"/>
    <w:rsid w:val="009C11F9"/>
    <w:rsid w:val="009C6801"/>
    <w:rsid w:val="009D1845"/>
    <w:rsid w:val="009D6CB5"/>
    <w:rsid w:val="009E69C2"/>
    <w:rsid w:val="009F2279"/>
    <w:rsid w:val="00A035B5"/>
    <w:rsid w:val="00A12EE0"/>
    <w:rsid w:val="00A158C3"/>
    <w:rsid w:val="00A21EEE"/>
    <w:rsid w:val="00A23AFC"/>
    <w:rsid w:val="00A26E5C"/>
    <w:rsid w:val="00A273DC"/>
    <w:rsid w:val="00A33E28"/>
    <w:rsid w:val="00A34426"/>
    <w:rsid w:val="00A355F7"/>
    <w:rsid w:val="00A40592"/>
    <w:rsid w:val="00A46250"/>
    <w:rsid w:val="00A56F14"/>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D622F"/>
    <w:rsid w:val="00AE585E"/>
    <w:rsid w:val="00AF6320"/>
    <w:rsid w:val="00B037BE"/>
    <w:rsid w:val="00B04178"/>
    <w:rsid w:val="00B04E29"/>
    <w:rsid w:val="00B04EA4"/>
    <w:rsid w:val="00B14A5B"/>
    <w:rsid w:val="00B26383"/>
    <w:rsid w:val="00B27D94"/>
    <w:rsid w:val="00B3223D"/>
    <w:rsid w:val="00B40E1E"/>
    <w:rsid w:val="00B45A40"/>
    <w:rsid w:val="00B502BB"/>
    <w:rsid w:val="00B751C5"/>
    <w:rsid w:val="00B90E36"/>
    <w:rsid w:val="00B91CC1"/>
    <w:rsid w:val="00BA7595"/>
    <w:rsid w:val="00BB4203"/>
    <w:rsid w:val="00BD6549"/>
    <w:rsid w:val="00BD7B57"/>
    <w:rsid w:val="00BE1F7D"/>
    <w:rsid w:val="00BF04B3"/>
    <w:rsid w:val="00BF2B19"/>
    <w:rsid w:val="00BF3698"/>
    <w:rsid w:val="00BF5C9A"/>
    <w:rsid w:val="00BF62ED"/>
    <w:rsid w:val="00BF7E7F"/>
    <w:rsid w:val="00C13FD0"/>
    <w:rsid w:val="00C16BF4"/>
    <w:rsid w:val="00C17974"/>
    <w:rsid w:val="00C241A3"/>
    <w:rsid w:val="00C25804"/>
    <w:rsid w:val="00C503BC"/>
    <w:rsid w:val="00C52725"/>
    <w:rsid w:val="00C53BEA"/>
    <w:rsid w:val="00C72B3E"/>
    <w:rsid w:val="00C80636"/>
    <w:rsid w:val="00C8483D"/>
    <w:rsid w:val="00C8503D"/>
    <w:rsid w:val="00C93D07"/>
    <w:rsid w:val="00CA0246"/>
    <w:rsid w:val="00CA2008"/>
    <w:rsid w:val="00CA3CCF"/>
    <w:rsid w:val="00CB1AFA"/>
    <w:rsid w:val="00CB25AB"/>
    <w:rsid w:val="00CC360D"/>
    <w:rsid w:val="00CC70FE"/>
    <w:rsid w:val="00CD14D3"/>
    <w:rsid w:val="00CD2F1F"/>
    <w:rsid w:val="00CD4DFF"/>
    <w:rsid w:val="00CD6434"/>
    <w:rsid w:val="00CE7BA4"/>
    <w:rsid w:val="00CF446B"/>
    <w:rsid w:val="00CF5C94"/>
    <w:rsid w:val="00D12374"/>
    <w:rsid w:val="00D1443A"/>
    <w:rsid w:val="00D164DD"/>
    <w:rsid w:val="00D1658D"/>
    <w:rsid w:val="00D17688"/>
    <w:rsid w:val="00D2002D"/>
    <w:rsid w:val="00D2146A"/>
    <w:rsid w:val="00D25F6F"/>
    <w:rsid w:val="00D27199"/>
    <w:rsid w:val="00D515F8"/>
    <w:rsid w:val="00D61C3D"/>
    <w:rsid w:val="00D6259E"/>
    <w:rsid w:val="00D8336D"/>
    <w:rsid w:val="00D83B48"/>
    <w:rsid w:val="00D85BB7"/>
    <w:rsid w:val="00D93155"/>
    <w:rsid w:val="00D956C3"/>
    <w:rsid w:val="00DA21B1"/>
    <w:rsid w:val="00DA3E16"/>
    <w:rsid w:val="00DB00F0"/>
    <w:rsid w:val="00DB401B"/>
    <w:rsid w:val="00DC0581"/>
    <w:rsid w:val="00DC1BEB"/>
    <w:rsid w:val="00DC7E4C"/>
    <w:rsid w:val="00DD01AC"/>
    <w:rsid w:val="00DD68E3"/>
    <w:rsid w:val="00DF3B3E"/>
    <w:rsid w:val="00DF6A24"/>
    <w:rsid w:val="00E072E6"/>
    <w:rsid w:val="00E234E7"/>
    <w:rsid w:val="00E23E3E"/>
    <w:rsid w:val="00E2422B"/>
    <w:rsid w:val="00E24827"/>
    <w:rsid w:val="00E24F14"/>
    <w:rsid w:val="00E27730"/>
    <w:rsid w:val="00E30146"/>
    <w:rsid w:val="00E350AF"/>
    <w:rsid w:val="00E36778"/>
    <w:rsid w:val="00E379A0"/>
    <w:rsid w:val="00E51C2C"/>
    <w:rsid w:val="00E53795"/>
    <w:rsid w:val="00E54101"/>
    <w:rsid w:val="00E56253"/>
    <w:rsid w:val="00E60EC6"/>
    <w:rsid w:val="00E6175B"/>
    <w:rsid w:val="00E730A4"/>
    <w:rsid w:val="00E73632"/>
    <w:rsid w:val="00E953A4"/>
    <w:rsid w:val="00EA01B5"/>
    <w:rsid w:val="00EA4879"/>
    <w:rsid w:val="00EC1A6F"/>
    <w:rsid w:val="00EC610C"/>
    <w:rsid w:val="00EC61CC"/>
    <w:rsid w:val="00EF0E2A"/>
    <w:rsid w:val="00EF6D19"/>
    <w:rsid w:val="00F05046"/>
    <w:rsid w:val="00F12F86"/>
    <w:rsid w:val="00F26DA0"/>
    <w:rsid w:val="00F323EE"/>
    <w:rsid w:val="00F33377"/>
    <w:rsid w:val="00F503E5"/>
    <w:rsid w:val="00F56592"/>
    <w:rsid w:val="00F57B31"/>
    <w:rsid w:val="00F66571"/>
    <w:rsid w:val="00F70F57"/>
    <w:rsid w:val="00F76D66"/>
    <w:rsid w:val="00F8025E"/>
    <w:rsid w:val="00F81870"/>
    <w:rsid w:val="00F8737C"/>
    <w:rsid w:val="00F90189"/>
    <w:rsid w:val="00F93A25"/>
    <w:rsid w:val="00F95590"/>
    <w:rsid w:val="00FA587E"/>
    <w:rsid w:val="00FB05C7"/>
    <w:rsid w:val="00FB19FC"/>
    <w:rsid w:val="00FB1AEB"/>
    <w:rsid w:val="00FB4279"/>
    <w:rsid w:val="00FB5AD6"/>
    <w:rsid w:val="00FC3263"/>
    <w:rsid w:val="00FC4053"/>
    <w:rsid w:val="00FC7304"/>
    <w:rsid w:val="00FD67D1"/>
    <w:rsid w:val="00FD6922"/>
    <w:rsid w:val="00FE51B5"/>
    <w:rsid w:val="00FE676B"/>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F92FF29C-4C7E-444C-9069-C98703B38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0F5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467E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04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HCUZCRXN6NH5-581495652-2069</_dlc_DocId>
    <_dlc_DocIdUrl xmlns="85f4b5cc-4033-44c7-b405-f5eed34c8154">
      <Url>https://spucr.sharepoint.com/sites/Portal/544101/_layouts/15/DocIdRedir.aspx?ID=HCUZCRXN6NH5-581495652-2069</Url>
      <Description>HCUZCRXN6NH5-581495652-2069</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084920A8-52EA-4E17-B997-B782279A7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27</Pages>
  <Words>10934</Words>
  <Characters>64515</Characters>
  <Application>Microsoft Office Word</Application>
  <DocSecurity>0</DocSecurity>
  <Lines>537</Lines>
  <Paragraphs>150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Frič Jaroslav Ing.</cp:lastModifiedBy>
  <cp:revision>50</cp:revision>
  <cp:lastPrinted>2018-09-24T22:10:00Z</cp:lastPrinted>
  <dcterms:created xsi:type="dcterms:W3CDTF">2023-04-17T14:45:00Z</dcterms:created>
  <dcterms:modified xsi:type="dcterms:W3CDTF">2023-04-19T06:11:00Z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d44491fc-ab04-4698-885a-22fbe022a701</vt:lpwstr>
  </property>
  <property fmtid="{D5CDD505-2E9C-101B-9397-08002B2CF9AE}" pid="4" name="MediaServiceImageTags">
    <vt:lpwstr/>
  </property>
</Properties>
</file>